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1" w:name="lesson-14-estampados-de-cera"/>
    <w:p>
      <w:pPr>
        <w:pStyle w:val="Heading1"/>
      </w:pPr>
      <w:r>
        <w:t xml:space="preserve">Lesson 14: Estampados de cera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3.G.A.1, 3.MD.D.8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Apply geometric understanding to solve problems about wax prints.</w:t>
      </w:r>
    </w:p>
    <w:bookmarkEnd w:id="24"/>
    <w:bookmarkStart w:id="25" w:name="student-facing-learning-goals"/>
    <w:p>
      <w:pPr>
        <w:pStyle w:val="Heading3"/>
      </w:pPr>
      <w:r>
        <w:t xml:space="preserve">Student-facing Learning Goals</w:t>
      </w:r>
    </w:p>
    <w:p>
      <w:pPr>
        <w:numPr>
          <w:ilvl w:val="0"/>
          <w:numId w:val="1002"/>
        </w:numPr>
        <w:pStyle w:val="Compact"/>
      </w:pPr>
      <w:r>
        <w:t xml:space="preserve">Analicemos y hagamos algunos estampados de cera.</w:t>
      </w:r>
    </w:p>
    <w:bookmarkEnd w:id="25"/>
    <w:bookmarkStart w:id="26" w:name="lesson-purpose"/>
    <w:p>
      <w:pPr>
        <w:pStyle w:val="Heading3"/>
      </w:pPr>
      <w:r>
        <w:t xml:space="preserve">Lesson Purpose</w:t>
      </w:r>
    </w:p>
    <w:p>
      <w:pPr>
        <w:pStyle w:val="FirstParagraph"/>
      </w:pPr>
      <w:r>
        <w:t xml:space="preserve">The purpose of this lesson is for students to consider how geometric attributes, perimeter, and area are used to design and use wax print fabric.</w:t>
      </w:r>
    </w:p>
    <w:p>
      <w:pPr>
        <w:pStyle w:val="BodyText"/>
      </w:pPr>
      <w:r>
        <w:t xml:space="preserve">In previous lessons, students learned how to identify different types of quadrilaterals and solve problems involving area and perimeter. In this lesson students put all of their learning together to analyze geometric attributes of wax prints, then design a wax print of their own with specific constraints about the shapes they need to use. Then, students use what they know about area and perimeter to solve problems that involve wax print fabric.</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MLR4 Information Gap (Activity 2), Notice and Wonder (Warm-up)</w:t>
      </w:r>
    </w:p>
    <w:bookmarkEnd w:id="36"/>
    <w:bookmarkStart w:id="37" w:name="materials-to-gather"/>
    <w:p>
      <w:pPr>
        <w:pStyle w:val="Heading3"/>
      </w:pPr>
      <w:r>
        <w:t xml:space="preserve">Materials to Gather</w:t>
      </w:r>
    </w:p>
    <w:p>
      <w:pPr>
        <w:numPr>
          <w:ilvl w:val="0"/>
          <w:numId w:val="1005"/>
        </w:numPr>
        <w:pStyle w:val="Compact"/>
      </w:pPr>
      <w:r>
        <w:t xml:space="preserve">Colored pencils, crayons, or markers: Activity 1</w:t>
      </w:r>
    </w:p>
    <w:bookmarkEnd w:id="37"/>
    <w:bookmarkStart w:id="38" w:name="materials-to-copy"/>
    <w:p>
      <w:pPr>
        <w:pStyle w:val="Heading3"/>
      </w:pPr>
      <w:r>
        <w:t xml:space="preserve">Materials to Copy</w:t>
      </w:r>
    </w:p>
    <w:p>
      <w:pPr>
        <w:numPr>
          <w:ilvl w:val="0"/>
          <w:numId w:val="1006"/>
        </w:numPr>
        <w:pStyle w:val="Compact"/>
      </w:pPr>
      <w:r>
        <w:t xml:space="preserve">Square Dot Paper Standard (groups of 1): Activity 1</w:t>
      </w:r>
    </w:p>
    <w:p>
      <w:pPr>
        <w:numPr>
          <w:ilvl w:val="0"/>
          <w:numId w:val="1006"/>
        </w:numPr>
        <w:pStyle w:val="Compact"/>
      </w:pPr>
      <w:r>
        <w:t xml:space="preserve">Info Gap: The Bundle, Spanish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What do your students think it means to be good at math? How are you helping them change negative impressions they might have about their ability to reason mathematically?</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Cuadriláteros de un patrón</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3.G.A.1, 3.MD.D.8</w:t>
            </w:r>
          </w:p>
        </w:tc>
      </w:tr>
    </w:tbl>
    <w:bookmarkEnd w:id="45"/>
    <w:bookmarkStart w:id="49" w:name="student-facing-task-statement"/>
    <w:p>
      <w:pPr>
        <w:pStyle w:val="Heading3"/>
      </w:pPr>
      <w:r>
        <w:t xml:space="preserve">Student-facing Task Statement</w:t>
      </w:r>
    </w:p>
    <w:p>
      <w:pPr>
        <w:numPr>
          <w:ilvl w:val="0"/>
          <w:numId w:val="1007"/>
        </w:numPr>
      </w:pPr>
      <w:r>
        <w:t xml:space="preserve">Describe los cuadriláteros que se usaron en este patrón.</w:t>
      </w:r>
    </w:p>
    <w:p>
      <w:pPr>
        <w:numPr>
          <w:ilvl w:val="0"/>
          <w:numId w:val="1000"/>
        </w:numPr>
        <w:pStyle w:val="Compact"/>
      </w:pPr>
      <w:r>
        <w:drawing>
          <wp:inline>
            <wp:extent cx="3252647" cy="2172652"/>
            <wp:effectExtent b="0" l="0" r="0" t="0"/>
            <wp:docPr descr="" title="" id="47" name="Picture"/>
            <a:graphic>
              <a:graphicData uri="http://schemas.openxmlformats.org/drawingml/2006/picture">
                <pic:pic>
                  <pic:nvPicPr>
                    <pic:cNvPr descr="/app/tmp/embedder-1671062960.6043746.png" id="48" name="Picture"/>
                    <pic:cNvPicPr>
                      <a:picLocks noChangeArrowheads="1" noChangeAspect="1"/>
                    </pic:cNvPicPr>
                  </pic:nvPicPr>
                  <pic:blipFill>
                    <a:blip r:embed="rId46"/>
                    <a:stretch>
                      <a:fillRect/>
                    </a:stretch>
                  </pic:blipFill>
                  <pic:spPr bwMode="auto">
                    <a:xfrm>
                      <a:off x="0" y="0"/>
                      <a:ext cx="3252647" cy="2172652"/>
                    </a:xfrm>
                    <a:prstGeom prst="rect">
                      <a:avLst/>
                    </a:prstGeom>
                    <a:noFill/>
                    <a:ln w="9525">
                      <a:noFill/>
                      <a:headEnd/>
                      <a:tailEnd/>
                    </a:ln>
                  </pic:spPr>
                </pic:pic>
              </a:graphicData>
            </a:graphic>
          </wp:inline>
        </w:drawing>
      </w:r>
    </w:p>
    <w:p>
      <w:pPr>
        <w:numPr>
          <w:ilvl w:val="0"/>
          <w:numId w:val="1007"/>
        </w:numPr>
        <w:pStyle w:val="Compact"/>
      </w:pPr>
      <w:r>
        <w:t xml:space="preserve">Si la imagen del patrón es un rectángulo que tiene lados que miden 9 pulgadas y 6 pulgadas, ¿cuál es el perímetro? Explica cómo razonaste.</w:t>
      </w:r>
    </w:p>
    <w:bookmarkEnd w:id="49"/>
    <w:bookmarkStart w:id="50" w:name="student-responses"/>
    <w:p>
      <w:pPr>
        <w:pStyle w:val="Heading3"/>
      </w:pPr>
      <w:r>
        <w:t xml:space="preserve">Student Responses</w:t>
      </w:r>
    </w:p>
    <w:p>
      <w:pPr>
        <w:numPr>
          <w:ilvl w:val="0"/>
          <w:numId w:val="1008"/>
        </w:numPr>
        <w:pStyle w:val="Compact"/>
      </w:pPr>
      <w:r>
        <w:t xml:space="preserve">Samples responses: There are quadrilaterals in white and gray that don’t have any right angles. The black quadrilaterals are rhombuses. The grey shapes and the white shapes are quadrilaterals that have 2 equal sides. They are not rectangles, rhombuses, or squares. It looks like there are tall skinny rectangles that are shaded white and gray behind the black rhombuses.</w:t>
      </w:r>
    </w:p>
    <w:p>
      <w:pPr>
        <w:numPr>
          <w:ilvl w:val="0"/>
          <w:numId w:val="1008"/>
        </w:numPr>
        <w:pStyle w:val="Compact"/>
      </w:pPr>
      <w:r>
        <w:t xml:space="preserve">30 inches. I added 9 plus 6 to get 15, then multiplied by 2 since there would be another set of sides that were 9 inches and 6 inches.</w:t>
      </w:r>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2022-12-15T00:09:21Z</dcterms:created>
  <dcterms:modified xsi:type="dcterms:W3CDTF">2022-12-15T00:09:21Z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XyHooZvZKeXUoNGEGNPt4B56hzZa/r328gu5/eARDP97Ja3491HRuBFEcppJt8GIJ5L+sE504O13gVyNlB4Pog==</vt:lpwstr>
  </property>
</Properties>
</file>