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7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4" w:name="Xb71cd25d8ffc3a22fbedff75f940f9d1b32ff84"/>
    <w:p>
      <w:pPr>
        <w:pStyle w:val="Heading1"/>
      </w:pPr>
      <w:r>
        <w:t xml:space="preserve">Lesson 22: Resolvamos problemas en los que hay números grandes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4.NBT.A.1, 4.NBT.A.2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and solve problems that involve finding sums and differences of multi-digit whole numbers.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Resolvamos problemas sumando y restando.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that involve adding and subtracting multi-digit numbers.</w:t>
      </w:r>
    </w:p>
    <w:p>
      <w:pPr>
        <w:pStyle w:val="BodyText"/>
      </w:pPr>
      <w:r>
        <w:t xml:space="preserve">In this lesson, students apply their skills and understandings for adding and subtracting large numbers to solve problems and participate in a game.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MLR6 Three Reads (Activity 1), True or False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Grid paper: Activity 1, Activity 2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0-9 Digit Cards (groups of 2): Activity 2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question do you wish you had asked today? What kept you from asking the question?</w:t>
      </w:r>
    </w:p>
    <w:p>
      <w:r>
        <w:pict>
          <v:rect style="width:0;height:1.5pt" o:hralign="center" o:hrstd="t" o:hr="t"/>
        </w:pict>
      </w:r>
    </w:p>
    <w:bookmarkEnd w:id="36"/>
    <w:bookmarkStart w:id="40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Poblaciones de tres ciudades</w:t>
      </w:r>
    </w:p>
    <w:bookmarkEnd w:id="40"/>
    <w:bookmarkStart w:id="41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4.NBT.B.4</w:t>
            </w:r>
          </w:p>
        </w:tc>
      </w:tr>
    </w:tbl>
    <w:bookmarkEnd w:id="41"/>
    <w:bookmarkStart w:id="42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 el 2017, estas eran las poblaciones de las tres ciudades más grandes de Wisconsin.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      ciudad     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     población     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      Milwaukee     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595,351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Madison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255,214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Green Bay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105,116</w:t>
            </w:r>
          </w:p>
        </w:tc>
      </w:tr>
    </w:tbl>
    <w:p>
      <w:pPr>
        <w:numPr>
          <w:ilvl w:val="0"/>
          <w:numId w:val="1006"/>
        </w:numPr>
        <w:pStyle w:val="Compact"/>
      </w:pPr>
      <w:r>
        <w:t xml:space="preserve">¿La población de las tres ciudades juntas era más de un millón de personas? Explica o muestra cómo razonaste.</w:t>
      </w:r>
    </w:p>
    <w:p>
      <w:pPr>
        <w:numPr>
          <w:ilvl w:val="0"/>
          <w:numId w:val="1006"/>
        </w:numPr>
        <w:pStyle w:val="Compact"/>
      </w:pPr>
      <w:r>
        <w:t xml:space="preserve">¿Cuántas personas en total había por encima de un millón o por debajo de un millón? Explica o muestra cómo razonaste.</w:t>
      </w:r>
    </w:p>
    <w:bookmarkEnd w:id="42"/>
    <w:bookmarkStart w:id="43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No. Sample response: Milwaukee had about 600,000 people. Madison had about 255,000 people. Green Bay had about 105,000 people. The sum of the three estimates is 960,000 people.</w:t>
      </w:r>
    </w:p>
    <w:p>
      <w:pPr>
        <w:numPr>
          <w:ilvl w:val="0"/>
          <w:numId w:val="1007"/>
        </w:numPr>
        <w:pStyle w:val="Compact"/>
      </w:pPr>
      <w:r>
        <w:t xml:space="preserve">44,319 people below one million. Sample response:</w:t>
      </w:r>
    </w:p>
    <w:p>
      <w:pPr>
        <w:numPr>
          <w:ilvl w:val="1"/>
          <w:numId w:val="1008"/>
        </w:numPr>
        <w:pStyle w:val="Compact"/>
      </w:pPr>
      <w:r>
        <w:t xml:space="preserve">The sum of populations of Milwaukee and Madison is</w:t>
      </w:r>
      <w:r>
        <w:t xml:space="preserve"> </w:t>
      </w:r>
      <m:oMath>
        <m:r>
          <m:t>595</m:t>
        </m:r>
        <m:r>
          <m:rPr>
            <m:sty m:val="p"/>
          </m:rPr>
          <m:t>,</m:t>
        </m:r>
        <m:r>
          <m:t>​</m:t>
        </m:r>
        <m:r>
          <m:t>351</m:t>
        </m:r>
        <m:r>
          <m:rPr>
            <m:sty m:val="p"/>
          </m:rPr>
          <m:t>+</m:t>
        </m:r>
        <m:r>
          <m:t>255</m:t>
        </m:r>
        <m:r>
          <m:rPr>
            <m:sty m:val="p"/>
          </m:rPr>
          <m:t>,</m:t>
        </m:r>
        <m:r>
          <m:t>​</m:t>
        </m:r>
        <m:r>
          <m:t>214</m:t>
        </m:r>
      </m:oMath>
      <w:r>
        <w:t xml:space="preserve">, which is 850,565 people. Adding the population of Green Bay,</w:t>
      </w:r>
      <w:r>
        <w:t xml:space="preserve"> </w:t>
      </w:r>
      <m:oMath>
        <m:r>
          <m:t>850</m:t>
        </m:r>
        <m:r>
          <m:rPr>
            <m:sty m:val="p"/>
          </m:rPr>
          <m:t>,</m:t>
        </m:r>
        <m:r>
          <m:t>​</m:t>
        </m:r>
        <m:r>
          <m:t>565</m:t>
        </m:r>
        <m:r>
          <m:rPr>
            <m:sty m:val="p"/>
          </m:rPr>
          <m:t>+</m:t>
        </m:r>
        <m:r>
          <m:t>105</m:t>
        </m:r>
        <m:r>
          <m:rPr>
            <m:sty m:val="p"/>
          </m:rPr>
          <m:t>,</m:t>
        </m:r>
        <m:r>
          <m:t>​</m:t>
        </m:r>
        <m:r>
          <m:t>116</m:t>
        </m:r>
      </m:oMath>
      <w:r>
        <w:t xml:space="preserve">, gives 955,681 people. Subtracting 955,681 people from 1,000,000 people gives 44,319 people.</w:t>
      </w:r>
    </w:p>
    <w:p>
      <w:pPr>
        <w:numPr>
          <w:ilvl w:val="1"/>
          <w:numId w:val="1008"/>
        </w:numPr>
        <w:pStyle w:val="Compact"/>
      </w:pPr>
      <w:r>
        <w:t xml:space="preserve">The total population of the three cities is 955,681 people. I kept adding numbers to that total until reaching 1,000,000 people. I first added 40,000 people and then 4,000 people, which gives 999,681 people. Adding 319 people more gives 1,000,000 people. Then I added these numbers:</w:t>
      </w:r>
      <w:r>
        <w:t xml:space="preserve"> </w:t>
      </w:r>
      <m:oMath>
        <m:r>
          <m:t>40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319</m:t>
        </m:r>
        <m:r>
          <m:rPr>
            <m:sty m:val="p"/>
          </m:rPr>
          <m:t>=</m:t>
        </m:r>
        <m:r>
          <m:t>44</m:t>
        </m:r>
        <m:r>
          <m:rPr>
            <m:sty m:val="p"/>
          </m:rPr>
          <m:t>,</m:t>
        </m:r>
        <m:r>
          <m:t>​</m:t>
        </m:r>
        <m:r>
          <m:t>319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Subtracting the population of Milwaukee from one million,</w:t>
      </w:r>
      <w:r>
        <w:t xml:space="preserve"> </w:t>
      </w:r>
      <m:oMath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595</m:t>
        </m:r>
        <m:r>
          <m:rPr>
            <m:sty m:val="p"/>
          </m:rPr>
          <m:t>,</m:t>
        </m:r>
        <m:r>
          <m:t>​</m:t>
        </m:r>
        <m:r>
          <m:t>351</m:t>
        </m:r>
      </m:oMath>
      <w:r>
        <w:t xml:space="preserve">, gives 404,649 people. Subtracting the population of Madison from 404,649 people gives 149,435 people. Subtracting the population of Green Bay from 149,435 people gives 44,319 people.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7" Target="media/rId37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2022-12-15T00:26:00Z</dcterms:created>
  <dcterms:modified xsi:type="dcterms:W3CDTF">2022-12-15T00:26:00Z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NevS8WpbARAmh8KRUZ8w+iwol3H7amVbTyeUdP4Z/5ER75eoBtP5TeNjYY8A+xySFcDu9+/gOEDKrXEEihb8zA==</vt:lpwstr>
  </property>
</Properties>
</file>