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svg" ContentType="image/svg+xml;base64"/>
  <Override PartName="/word/media/rId27.svg" ContentType="image/svg+xml;base64"/>
  <Override PartName="/word/media/rId3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5" w:name="lesson-19-compare-to-1"/>
    <w:p>
      <w:pPr>
        <w:pStyle w:val="Heading1"/>
      </w:pPr>
      <w:r>
        <w:t xml:space="preserve">Lesson 19: Compare to 1</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5.NF.B.5.b</w:t>
            </w:r>
          </w:p>
        </w:tc>
      </w:tr>
      <w:tr>
        <w:tc>
          <w:tcPr/>
          <w:p>
            <w:pPr>
              <w:pStyle w:val="Compact"/>
              <w:jc w:val="left"/>
            </w:pPr>
            <w:r>
              <w:t xml:space="preserve">Building Towards</w:t>
            </w:r>
          </w:p>
        </w:tc>
        <w:tc>
          <w:tcPr/>
          <w:p>
            <w:pPr>
              <w:pStyle w:val="Compact"/>
              <w:jc w:val="left"/>
            </w:pPr>
            <w:r>
              <w:t xml:space="preserve">5.NF.B.5.b</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Explain what happens to a given fraction when multiplied by a fraction greater than or less than 1.</w:t>
      </w:r>
    </w:p>
    <w:bookmarkEnd w:id="24"/>
    <w:bookmarkStart w:id="25" w:name="student-facing-learning-goals"/>
    <w:p>
      <w:pPr>
        <w:pStyle w:val="Heading3"/>
      </w:pPr>
      <w:r>
        <w:t xml:space="preserve">Student-facing Learning Goals</w:t>
      </w:r>
    </w:p>
    <w:p>
      <w:pPr>
        <w:numPr>
          <w:ilvl w:val="0"/>
          <w:numId w:val="1002"/>
        </w:numPr>
        <w:pStyle w:val="Compact"/>
      </w:pPr>
      <w:r>
        <w:t xml:space="preserve">Let’s explain what happens when we multiply a fraction by a fraction greater than, less than, or equal to 1.</w:t>
      </w:r>
    </w:p>
    <w:p>
      <w:pPr>
        <w:pStyle w:val="FirstParagraph"/>
      </w:pPr>
      <w:r>
        <w:t xml:space="preserve">In previous lessons, students have compared the size of a product to the size of one factor by reasoning about the size of the other factor. They have done this using calculation, area diagrams, and number line diagrams. The goal of this lesson is to use the distributive property to explain why the comparisons work in all cases without calculating. The key observation is that a number greater than 1, such as</w:t>
      </w:r>
      <w:r>
        <w:t xml:space="preserve"> </w:t>
      </w:r>
      <m:oMath>
        <m:f>
          <m:fPr>
            <m:type m:val="bar"/>
          </m:fPr>
          <m:num>
            <m:r>
              <m:t>5</m:t>
            </m:r>
          </m:num>
          <m:den>
            <m:r>
              <m:t>4</m:t>
            </m:r>
          </m:den>
        </m:f>
      </m:oMath>
      <w:r>
        <w:t xml:space="preserve">, can be written as</w:t>
      </w:r>
      <w:r>
        <w:t xml:space="preserve"> </w:t>
      </w:r>
      <m:oMath>
        <m:r>
          <m:t>1</m:t>
        </m:r>
        <m:r>
          <m:rPr>
            <m:sty m:val="p"/>
          </m:rPr>
          <m:t>+</m:t>
        </m:r>
        <m:f>
          <m:fPr>
            <m:type m:val="bar"/>
          </m:fPr>
          <m:num>
            <m:r>
              <m:t>1</m:t>
            </m:r>
          </m:num>
          <m:den>
            <m:r>
              <m:t>4</m:t>
            </m:r>
          </m:den>
        </m:f>
      </m:oMath>
      <w:r>
        <w:t xml:space="preserve"> </w:t>
      </w:r>
      <w:r>
        <w:t xml:space="preserve">so multiplying by</w:t>
      </w:r>
      <w:r>
        <w:t xml:space="preserve"> </w:t>
      </w:r>
      <m:oMath>
        <m:f>
          <m:fPr>
            <m:type m:val="bar"/>
          </m:fPr>
          <m:num>
            <m:r>
              <m:t>5</m:t>
            </m:r>
          </m:num>
          <m:den>
            <m:r>
              <m:t>4</m:t>
            </m:r>
          </m:den>
        </m:f>
      </m:oMath>
      <w:r>
        <w:t xml:space="preserve"> </w:t>
      </w:r>
      <w:r>
        <w:t xml:space="preserve">increases any number by</w:t>
      </w:r>
      <w:r>
        <w:t xml:space="preserve"> </w:t>
      </w:r>
      <m:oMath>
        <m:f>
          <m:fPr>
            <m:type m:val="bar"/>
          </m:fPr>
          <m:num>
            <m:r>
              <m:t>1</m:t>
            </m:r>
          </m:num>
          <m:den>
            <m:r>
              <m:t>4</m:t>
            </m:r>
          </m:den>
        </m:f>
      </m:oMath>
      <w:r>
        <w:t xml:space="preserve"> </w:t>
      </w:r>
      <w:r>
        <w:t xml:space="preserve">of that number. In the same way multiplying by</w:t>
      </w:r>
      <w:r>
        <w:t xml:space="preserve"> </w:t>
      </w:r>
      <m:oMath>
        <m:f>
          <m:fPr>
            <m:type m:val="bar"/>
          </m:fPr>
          <m:num>
            <m:r>
              <m:t>3</m:t>
            </m:r>
          </m:num>
          <m:den>
            <m:r>
              <m:t>4</m:t>
            </m:r>
          </m:den>
        </m:f>
      </m:oMath>
      <w:r>
        <w:t xml:space="preserve"> </w:t>
      </w:r>
      <w:r>
        <w:t xml:space="preserve">or</w:t>
      </w:r>
      <w:r>
        <w:t xml:space="preserve"> </w:t>
      </w:r>
      <m:oMath>
        <m:r>
          <m:t>1</m:t>
        </m:r>
        <m:r>
          <m:rPr>
            <m:sty m:val="p"/>
          </m:rPr>
          <m:t>−</m:t>
        </m:r>
        <m:f>
          <m:fPr>
            <m:type m:val="bar"/>
          </m:fPr>
          <m:num>
            <m:r>
              <m:t>1</m:t>
            </m:r>
          </m:num>
          <m:den>
            <m:r>
              <m:t>4</m:t>
            </m:r>
          </m:den>
        </m:f>
      </m:oMath>
      <w:r>
        <w:t xml:space="preserve"> </w:t>
      </w:r>
      <w:r>
        <w:t xml:space="preserve">decreases any number by</w:t>
      </w:r>
      <w:r>
        <w:t xml:space="preserve"> </w:t>
      </w:r>
      <m:oMath>
        <m:f>
          <m:fPr>
            <m:type m:val="bar"/>
          </m:fPr>
          <m:num>
            <m:r>
              <m:t>1</m:t>
            </m:r>
          </m:num>
          <m:den>
            <m:r>
              <m:t>4</m:t>
            </m:r>
          </m:den>
        </m:f>
      </m:oMath>
      <w:r>
        <w:t xml:space="preserve"> </w:t>
      </w:r>
      <w:r>
        <w:t xml:space="preserve">of that number. </w:t>
      </w:r>
    </w:p>
    <w:p>
      <w:pPr>
        <w:pStyle w:val="BodyText"/>
      </w:pPr>
      <w:r>
        <w:t xml:space="preserve">This lesson has a Student Section Summary.</w:t>
      </w:r>
    </w:p>
    <w:bookmarkEnd w:id="25"/>
    <w:bookmarkStart w:id="26" w:name="access-for"/>
    <w:p>
      <w:pPr>
        <w:pStyle w:val="Heading3"/>
      </w:pPr>
      <w:r>
        <w:t xml:space="preserve">Access for:</w:t>
      </w:r>
    </w:p>
    <w:bookmarkEnd w:id="26"/>
    <w:bookmarkStart w:id="30" w:name="students-with-disabilities"/>
    <w:p>
      <w:pPr>
        <w:pStyle w:val="Heading3"/>
      </w:pPr>
      <w:r>
        <w:drawing>
          <wp:inline>
            <wp:extent cx="3810000" cy="2540000"/>
            <wp:effectExtent b="0" l="0" r="0" t="0"/>
            <wp:docPr descr="" title="" id="28"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2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0"/>
    <w:bookmarkStart w:id="34" w:name="english-learners"/>
    <w:p>
      <w:pPr>
        <w:pStyle w:val="Heading3"/>
      </w:pPr>
      <w:r>
        <w:drawing>
          <wp:inline>
            <wp:extent cx="3810000" cy="2540000"/>
            <wp:effectExtent b="0" l="0" r="0" t="0"/>
            <wp:docPr descr="" title="" id="32"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4"/>
    <w:bookmarkStart w:id="35" w:name="instructional-routines"/>
    <w:p>
      <w:pPr>
        <w:pStyle w:val="Heading3"/>
      </w:pPr>
      <w:r>
        <w:t xml:space="preserve">Instructional Routines</w:t>
      </w:r>
    </w:p>
    <w:p>
      <w:pPr>
        <w:pStyle w:val="FirstParagraph"/>
      </w:pPr>
      <w:r>
        <w:t xml:space="preserve">What Do You Know About _____? (Warm-up)</w:t>
      </w:r>
    </w:p>
    <w:bookmarkEnd w:id="35"/>
    <w:bookmarkStart w:id="36"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6"/>
    <w:bookmarkStart w:id="37" w:name="teacher-reflection-question"/>
    <w:p>
      <w:pPr>
        <w:pStyle w:val="Heading3"/>
      </w:pPr>
      <w:r>
        <w:t xml:space="preserve">Teacher Reflection Question</w:t>
      </w:r>
    </w:p>
    <w:p>
      <w:pPr>
        <w:pStyle w:val="FirstParagraph"/>
      </w:pPr>
      <w:r>
        <w:t xml:space="preserve">During the last two lessons, students have noticed and explained patterns and generalizations about multiplying by numbers greater than, less than, and equal to 1. What are some ways that you honored student language while strategically incorporating more precise academic language?</w:t>
      </w:r>
    </w:p>
    <w:p>
      <w:r>
        <w:pict>
          <v:rect style="width:0;height:1.5pt" o:hralign="center" o:hrstd="t" o:hr="t"/>
        </w:pict>
      </w:r>
    </w:p>
    <w:bookmarkEnd w:id="37"/>
    <w:bookmarkStart w:id="41"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9"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Compare without Calculating</w:t>
      </w:r>
    </w:p>
    <w:bookmarkEnd w:id="41"/>
    <w:bookmarkStart w:id="42"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5.NF.B.5.b</w:t>
            </w:r>
          </w:p>
        </w:tc>
      </w:tr>
    </w:tbl>
    <w:bookmarkEnd w:id="42"/>
    <w:bookmarkStart w:id="43" w:name="student-facing-task-statement"/>
    <w:p>
      <w:pPr>
        <w:pStyle w:val="Heading3"/>
      </w:pPr>
      <w:r>
        <w:t xml:space="preserve">Student-facing Task Statement</w:t>
      </w:r>
    </w:p>
    <w:p>
      <w:pPr>
        <w:numPr>
          <w:ilvl w:val="0"/>
          <w:numId w:val="1005"/>
        </w:numPr>
        <w:pStyle w:val="Compact"/>
      </w:pPr>
      <w:r>
        <w:t xml:space="preserve">Is</w:t>
      </w:r>
      <w:r>
        <w:t xml:space="preserve"> </w:t>
      </w:r>
      <m:oMath>
        <m:d>
          <m:dPr>
            <m:begChr m:val="("/>
            <m:endChr m:val=")"/>
            <m:sepChr m:val=""/>
            <m:grow/>
          </m:dPr>
          <m:e>
            <m:r>
              <m:t>1</m:t>
            </m:r>
            <m:r>
              <m:rPr>
                <m:sty m:val="p"/>
              </m:rPr>
              <m:t>−</m:t>
            </m:r>
            <m:f>
              <m:fPr>
                <m:type m:val="bar"/>
              </m:fPr>
              <m:num>
                <m:r>
                  <m:t>16</m:t>
                </m:r>
              </m:num>
              <m:den>
                <m:r>
                  <m:t>33</m:t>
                </m:r>
              </m:den>
            </m:f>
          </m:e>
        </m:d>
        <m:r>
          <m:rPr>
            <m:sty m:val="p"/>
          </m:rPr>
          <m:t>×</m:t>
        </m:r>
        <m:f>
          <m:fPr>
            <m:type m:val="bar"/>
          </m:fPr>
          <m:num>
            <m:r>
              <m:t>11</m:t>
            </m:r>
          </m:num>
          <m:den>
            <m:r>
              <m:t>14</m:t>
            </m:r>
          </m:den>
        </m:f>
      </m:oMath>
      <w:r>
        <w:t xml:space="preserve"> </w:t>
      </w:r>
      <w:r>
        <w:t xml:space="preserve">greater than, equal to, or less than</w:t>
      </w:r>
      <w:r>
        <w:t xml:space="preserve"> </w:t>
      </w:r>
      <m:oMath>
        <m:f>
          <m:fPr>
            <m:type m:val="bar"/>
          </m:fPr>
          <m:num>
            <m:r>
              <m:t>11</m:t>
            </m:r>
          </m:num>
          <m:den>
            <m:r>
              <m:t>14</m:t>
            </m:r>
          </m:den>
        </m:f>
      </m:oMath>
      <w:r>
        <w:t xml:space="preserve">? Explain or show your reasoning.</w:t>
      </w:r>
    </w:p>
    <w:p>
      <w:pPr>
        <w:numPr>
          <w:ilvl w:val="0"/>
          <w:numId w:val="1005"/>
        </w:numPr>
        <w:pStyle w:val="Compact"/>
      </w:pPr>
      <w:r>
        <w:t xml:space="preserve">Is</w:t>
      </w:r>
      <w:r>
        <w:t xml:space="preserve"> </w:t>
      </w:r>
      <m:oMath>
        <m:f>
          <m:fPr>
            <m:type m:val="bar"/>
          </m:fPr>
          <m:num>
            <m:r>
              <m:t>49</m:t>
            </m:r>
          </m:num>
          <m:den>
            <m:r>
              <m:t>33</m:t>
            </m:r>
          </m:den>
        </m:f>
        <m:r>
          <m:t> </m:t>
        </m:r>
        <m:r>
          <m:rPr>
            <m:sty m:val="p"/>
          </m:rPr>
          <m:t>×</m:t>
        </m:r>
        <m:f>
          <m:fPr>
            <m:type m:val="bar"/>
          </m:fPr>
          <m:num>
            <m:r>
              <m:t>11</m:t>
            </m:r>
          </m:num>
          <m:den>
            <m:r>
              <m:t>14</m:t>
            </m:r>
          </m:den>
        </m:f>
      </m:oMath>
      <w:r>
        <w:t xml:space="preserve"> </w:t>
      </w:r>
      <w:r>
        <w:t xml:space="preserve">greater than, equal to, or less than</w:t>
      </w:r>
      <w:r>
        <w:t xml:space="preserve"> </w:t>
      </w:r>
      <m:oMath>
        <m:f>
          <m:fPr>
            <m:type m:val="bar"/>
          </m:fPr>
          <m:num>
            <m:r>
              <m:t>11</m:t>
            </m:r>
          </m:num>
          <m:den>
            <m:r>
              <m:t>14</m:t>
            </m:r>
          </m:den>
        </m:f>
      </m:oMath>
      <w:r>
        <w:t xml:space="preserve">? Explain or show your reasoning.</w:t>
      </w:r>
    </w:p>
    <w:bookmarkEnd w:id="43"/>
    <w:bookmarkStart w:id="44" w:name="student-responses"/>
    <w:p>
      <w:pPr>
        <w:pStyle w:val="Heading3"/>
      </w:pPr>
      <w:r>
        <w:t xml:space="preserve">Student Responses</w:t>
      </w:r>
    </w:p>
    <w:p>
      <w:pPr>
        <w:numPr>
          <w:ilvl w:val="0"/>
          <w:numId w:val="1006"/>
        </w:numPr>
        <w:pStyle w:val="Compact"/>
      </w:pPr>
      <w:r>
        <w:t xml:space="preserve">Less than</w:t>
      </w:r>
      <w:r>
        <w:t xml:space="preserve"> </w:t>
      </w:r>
      <m:oMath>
        <m:f>
          <m:fPr>
            <m:type m:val="bar"/>
          </m:fPr>
          <m:num>
            <m:r>
              <m:t>11</m:t>
            </m:r>
          </m:num>
          <m:den>
            <m:r>
              <m:t>14</m:t>
            </m:r>
          </m:den>
        </m:f>
      </m:oMath>
      <w:r>
        <w:t xml:space="preserve">, because it’s</w:t>
      </w:r>
      <w:r>
        <w:t xml:space="preserve"> </w:t>
      </w:r>
      <m:oMath>
        <m:f>
          <m:fPr>
            <m:type m:val="bar"/>
          </m:fPr>
          <m:num>
            <m:r>
              <m:t>11</m:t>
            </m:r>
          </m:num>
          <m:den>
            <m:r>
              <m:t>14</m:t>
            </m:r>
          </m:den>
        </m:f>
      </m:oMath>
      <w:r>
        <w:t xml:space="preserve"> </w:t>
      </w:r>
      <w:r>
        <w:t xml:space="preserve">minus some amount.</w:t>
      </w:r>
    </w:p>
    <w:p>
      <w:pPr>
        <w:numPr>
          <w:ilvl w:val="0"/>
          <w:numId w:val="1006"/>
        </w:numPr>
        <w:pStyle w:val="Compact"/>
      </w:pPr>
      <w:r>
        <w:t xml:space="preserve">Greater than</w:t>
      </w:r>
      <w:r>
        <w:t xml:space="preserve"> </w:t>
      </w:r>
      <m:oMath>
        <m:f>
          <m:fPr>
            <m:type m:val="bar"/>
          </m:fPr>
          <m:num>
            <m:r>
              <m:t>11</m:t>
            </m:r>
          </m:num>
          <m:den>
            <m:r>
              <m:t>14</m:t>
            </m:r>
          </m:den>
        </m:f>
      </m:oMath>
      <w:r>
        <w:t xml:space="preserve">, because it’s</w:t>
      </w:r>
      <w:r>
        <w:t xml:space="preserve"> </w:t>
      </w:r>
      <m:oMath>
        <m:f>
          <m:fPr>
            <m:type m:val="bar"/>
          </m:fPr>
          <m:num>
            <m:r>
              <m:t>11</m:t>
            </m:r>
          </m:num>
          <m:den>
            <m:r>
              <m:t>14</m:t>
            </m:r>
          </m:den>
        </m:f>
      </m:oMath>
      <w:r>
        <w:t xml:space="preserve"> </w:t>
      </w:r>
      <w:r>
        <w:t xml:space="preserve">plus some amount as I can see by rewriting</w:t>
      </w:r>
      <w:r>
        <w:t xml:space="preserve"> </w:t>
      </w:r>
      <m:oMath>
        <m:f>
          <m:fPr>
            <m:type m:val="bar"/>
          </m:fPr>
          <m:num>
            <m:r>
              <m:t>49</m:t>
            </m:r>
          </m:num>
          <m:den>
            <m:r>
              <m:t>33</m:t>
            </m:r>
          </m:den>
        </m:f>
      </m:oMath>
      <w:r>
        <w:t xml:space="preserve"> </w:t>
      </w:r>
      <w:r>
        <w:t xml:space="preserve">as</w:t>
      </w:r>
      <w:r>
        <w:t xml:space="preserve"> </w:t>
      </w:r>
      <m:oMath>
        <m:r>
          <m:t>1</m:t>
        </m:r>
        <m:r>
          <m:rPr>
            <m:sty m:val="p"/>
          </m:rPr>
          <m:t>+</m:t>
        </m:r>
        <m:f>
          <m:fPr>
            <m:type m:val="bar"/>
          </m:fPr>
          <m:num>
            <m:r>
              <m:t>16</m:t>
            </m:r>
          </m:num>
          <m:den>
            <m:r>
              <m:t>33</m:t>
            </m:r>
          </m:den>
        </m:f>
      </m:oMath>
      <w:r>
        <w:t xml:space="preserve">.</w:t>
      </w:r>
    </w:p>
    <w:bookmarkEnd w:id="44"/>
    <w:bookmarkEnd w:id="4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svg" /><Relationship Type="http://schemas.openxmlformats.org/officeDocument/2006/relationships/image" Id="rId27" Target="media/rId27.svg" /><Relationship Type="http://schemas.openxmlformats.org/officeDocument/2006/relationships/image" Id="rId38" Target="media/rId3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2022-12-14T14:35:06Z</dcterms:created>
  <dcterms:modified xsi:type="dcterms:W3CDTF">2022-12-14T14:35:06Z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aK2ddCmDAAt++lwrTP5i2DIlJvFipEE0qZ5NjhGCF4xMqdgtRQv4Vrse/zUdmk6wC81fd3YuHC8sFKj+ZY0U0Q==</vt:lpwstr>
  </property>
</Properties>
</file>