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múltiplos-de-un-número"/>
    <w:p>
      <w:pPr>
        <w:pStyle w:val="Heading1"/>
      </w:pPr>
      <w:r>
        <w:t xml:space="preserve">Lesson 1: Múltiplos de un número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3.MD.C, 3.MD.C.7.a</w:t>
            </w:r>
          </w:p>
        </w:tc>
      </w:tr>
      <w:tr>
        <w:tc>
          <w:tcPr/>
          <w:p>
            <w:pPr>
              <w:pStyle w:val="Compact"/>
              <w:jc w:val="left"/>
            </w:pPr>
            <w:r>
              <w:t xml:space="preserve">Addressing</w:t>
            </w:r>
          </w:p>
        </w:tc>
        <w:tc>
          <w:tcPr/>
          <w:p>
            <w:pPr>
              <w:pStyle w:val="Compact"/>
              <w:jc w:val="left"/>
            </w:pPr>
            <w:r>
              <w:t xml:space="preserve">4.OA.B.4</w:t>
            </w:r>
          </w:p>
        </w:tc>
      </w:tr>
      <w:tr>
        <w:tc>
          <w:tcPr/>
          <w:p>
            <w:pPr>
              <w:pStyle w:val="Compact"/>
              <w:jc w:val="left"/>
            </w:pPr>
            <w:r>
              <w:t xml:space="preserve">Building Towards</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areas of different rectangles with a given a side length.</w:t>
      </w:r>
    </w:p>
    <w:p>
      <w:pPr>
        <w:numPr>
          <w:ilvl w:val="0"/>
          <w:numId w:val="1001"/>
        </w:numPr>
        <w:pStyle w:val="Compact"/>
      </w:pPr>
      <w:r>
        <w:t xml:space="preserve">Understand that the area of a rectangle is a multiple of each of its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algunos rectángulos.</w:t>
      </w:r>
    </w:p>
    <w:bookmarkEnd w:id="25"/>
    <w:bookmarkStart w:id="29" w:name="lesson-purpose"/>
    <w:p>
      <w:pPr>
        <w:pStyle w:val="Heading3"/>
      </w:pPr>
      <w:r>
        <w:t xml:space="preserve">Lesson Purpose</w:t>
      </w:r>
    </w:p>
    <w:p>
      <w:pPr>
        <w:pStyle w:val="FirstParagraph"/>
      </w:pPr>
      <w:r>
        <w:t xml:space="preserve">The purpose of this lesson is for students to apply their understanding of area to explore multiples.</w:t>
      </w:r>
    </w:p>
    <w:p>
      <w:pPr>
        <w:pStyle w:val="BodyText"/>
      </w:pPr>
      <w:r>
        <w:t xml:space="preserve">In grade 3, students learned how to find the area of a rectangle by tiling and found that multiplying the side lengths yields the same result.</w:t>
      </w:r>
    </w:p>
    <w:p>
      <w:pPr>
        <w:pStyle w:val="BodyText"/>
      </w:pPr>
      <w:r>
        <w:t xml:space="preserve">The purpose of this lesson is for students to apply their understanding of area and multiplication to build rectangles and find their area. As students consider the areas of rectangles with a given side length, they explore the idea of multiples. Students learn that a</w:t>
      </w:r>
      <w:r>
        <w:t xml:space="preserve"> </w:t>
      </w:r>
      <w:r>
        <w:rPr>
          <w:bCs/>
          <w:b/>
        </w:rPr>
        <w:t xml:space="preserve">multiple of a number</w:t>
      </w:r>
      <w:r>
        <w:t xml:space="preserve"> is the result of multiplying that whole number by another.</w:t>
      </w:r>
    </w:p>
    <w:p>
      <w:pPr>
        <w:pStyle w:val="BodyText"/>
      </w:pPr>
      <w:r>
        <w:t xml:space="preserve">While students are introduced to the term multiple in this lesson, they work more with it in upcoming lessons. They do not need to have a formal understanding of the term in this lesson. In upcoming lessons, students also explore and learn the terms factor and factor pair. In this lesson, they refer to them as side lengths within the context of area.</w:t>
      </w:r>
    </w:p>
    <w:p>
      <w:pPr>
        <w:pStyle w:val="BodyText"/>
      </w:pPr>
      <w:r>
        <w:rPr>
          <w:bCs/>
          <w:b/>
        </w:rPr>
        <w:t xml:space="preserve">Math Community</w:t>
      </w:r>
    </w:p>
    <w:p>
      <w:pPr>
        <w:pStyle w:val="BodyText"/>
      </w:pPr>
      <w:r>
        <w:t xml:space="preserve">Prepare a space, such as a piece of poster paper, titled</w:t>
      </w:r>
      <w:r>
        <w:t xml:space="preserve"> </w:t>
      </w:r>
      <w:r>
        <w:rPr>
          <w:iCs/>
          <w:i/>
        </w:rPr>
        <w:t xml:space="preserve">“Comunidad matemática” //</w:t>
      </w:r>
      <w:r>
        <w:t xml:space="preserve"> </w:t>
      </w:r>
      <w:r>
        <w:t xml:space="preserve">“Mathematical Community”​ ​and a T-chart with the headers</w:t>
      </w:r>
      <w:r>
        <w:t xml:space="preserve"> </w:t>
      </w:r>
      <w:r>
        <w:rPr>
          <w:iCs/>
          <w:i/>
        </w:rPr>
        <w:t xml:space="preserve">“Hacer matemáticas” //</w:t>
      </w:r>
      <w:r>
        <w:t xml:space="preserve"> </w:t>
      </w:r>
      <w:r>
        <w:t xml:space="preserve">“Doing Math”​​ ​and</w:t>
      </w:r>
      <w:r>
        <w:t xml:space="preserve"> </w:t>
      </w:r>
      <w:r>
        <w:rPr>
          <w:iCs/>
          <w:i/>
        </w:rPr>
        <w:t xml:space="preserve">“Normas” // </w:t>
      </w:r>
      <w:r>
        <w:t xml:space="preserve">“Norms” as shown here.</w:t>
      </w:r>
    </w:p>
    <w:p>
      <w:pPr>
        <w:pStyle w:val="BodyText"/>
      </w:pPr>
      <w:r>
        <w:drawing>
          <wp:inline>
            <wp:extent cx="5498632" cy="2363983"/>
            <wp:effectExtent b="0" l="0" r="0" t="0"/>
            <wp:docPr descr="Chart" title="" id="27" name="Picture"/>
            <a:graphic>
              <a:graphicData uri="http://schemas.openxmlformats.org/drawingml/2006/picture">
                <pic:pic>
                  <pic:nvPicPr>
                    <pic:cNvPr descr="/app/tmp/embedder-1671063223.0090144.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p>
      <w:pPr>
        <w:pStyle w:val="BodyText"/>
      </w:pPr>
      <w:r>
        <w:t xml:space="preserve">The two sections encourage the students and teacher to be mindful that both respective parties are responsible for the way math is done in the classroom.</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8"/>
    <w:bookmarkStart w:id="39" w:name="instructional-routines"/>
    <w:p>
      <w:pPr>
        <w:pStyle w:val="Heading3"/>
      </w:pPr>
      <w:r>
        <w:t xml:space="preserve">Instructional Routines</w:t>
      </w:r>
    </w:p>
    <w:p>
      <w:pPr>
        <w:pStyle w:val="FirstParagraph"/>
      </w:pPr>
      <w:r>
        <w:t xml:space="preserve">Which One Doesn’t Belong? (Warm-up)</w:t>
      </w:r>
    </w:p>
    <w:bookmarkEnd w:id="39"/>
    <w:bookmarkStart w:id="40" w:name="materials-to-gather"/>
    <w:p>
      <w:pPr>
        <w:pStyle w:val="Heading3"/>
      </w:pPr>
      <w:r>
        <w:t xml:space="preserve">Materials to Gather</w:t>
      </w:r>
    </w:p>
    <w:p>
      <w:pPr>
        <w:numPr>
          <w:ilvl w:val="0"/>
          <w:numId w:val="1005"/>
        </w:numPr>
        <w:pStyle w:val="Compact"/>
      </w:pPr>
      <w:r>
        <w:t xml:space="preserve">Inch tiles: Activity 1, Activity 2</w:t>
      </w:r>
    </w:p>
    <w:bookmarkEnd w:id="40"/>
    <w:bookmarkStart w:id="41" w:name="materials-to-copy"/>
    <w:p>
      <w:pPr>
        <w:pStyle w:val="Heading3"/>
      </w:pPr>
      <w:r>
        <w:t xml:space="preserve">Materials to Copy</w:t>
      </w:r>
    </w:p>
    <w:p>
      <w:pPr>
        <w:numPr>
          <w:ilvl w:val="0"/>
          <w:numId w:val="1006"/>
        </w:numPr>
        <w:pStyle w:val="Compact"/>
      </w:pPr>
      <w:r>
        <w:t xml:space="preserve">Centimeter Grid Paper - Standard (groups of 2): Activity 2</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In grade 3, students fluently multiplied and divided within 100 and related area to multiplication and addition. How is that prior knowledge supporting students in understanding multiples in this lesson?</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Área y múltiplos</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8"/>
    <w:bookmarkStart w:id="49" w:name="student-facing-task-statement"/>
    <w:p>
      <w:pPr>
        <w:pStyle w:val="Heading3"/>
      </w:pPr>
      <w:r>
        <w:t xml:space="preserve">Student-facing Task Statement</w:t>
      </w:r>
    </w:p>
    <w:p>
      <w:pPr>
        <w:pStyle w:val="FirstParagraph"/>
      </w:pPr>
      <w:r>
        <w:t xml:space="preserve">Si un rectángulo mide 6 fichas de ancho, ¿cuál podría ser su área? Escribe 3 posibilidades. Explica o muestra tu razonamiento.</w:t>
      </w:r>
    </w:p>
    <w:bookmarkEnd w:id="49"/>
    <w:bookmarkStart w:id="50" w:name="student-responses"/>
    <w:p>
      <w:pPr>
        <w:pStyle w:val="Heading3"/>
      </w:pPr>
      <w:r>
        <w:t xml:space="preserve">Student Responses</w:t>
      </w:r>
    </w:p>
    <w:p>
      <w:pPr>
        <w:pStyle w:val="FirstParagraph"/>
      </w:pPr>
      <w:r>
        <w:t xml:space="preserve">Sample response: 12, 18, and 24, because</w:t>
      </w:r>
      <w:r>
        <w:t xml:space="preserve"> </w:t>
      </w:r>
      <m:oMath>
        <m:r>
          <m:t>6</m:t>
        </m:r>
        <m:r>
          <m:rPr>
            <m:sty m:val="p"/>
          </m:rPr>
          <m:t>×</m:t>
        </m:r>
        <m:r>
          <m:t>2</m:t>
        </m:r>
        <m:r>
          <m:rPr>
            <m:sty m:val="p"/>
          </m:rPr>
          <m:t>=</m:t>
        </m:r>
        <m:r>
          <m:t>12</m:t>
        </m:r>
      </m:oMath>
      <w:r>
        <w:t xml:space="preserve">,</w:t>
      </w:r>
      <w:r>
        <w:t xml:space="preserve"> </w:t>
      </w:r>
      <m:oMath>
        <m:r>
          <m:t>6</m:t>
        </m:r>
        <m:r>
          <m:rPr>
            <m:sty m:val="p"/>
          </m:rPr>
          <m:t>×</m:t>
        </m:r>
        <m:r>
          <m:t>3</m:t>
        </m:r>
        <m:r>
          <m:rPr>
            <m:sty m:val="p"/>
          </m:rPr>
          <m:t>=</m:t>
        </m:r>
        <m:r>
          <m:t>18</m:t>
        </m:r>
      </m:oMath>
      <w:r>
        <w:t xml:space="preserve">, and </w:t>
      </w:r>
      <m:oMath>
        <m:r>
          <m:t>6</m:t>
        </m:r>
        <m:r>
          <m:rPr>
            <m:sty m:val="p"/>
          </m:rPr>
          <m:t>×</m:t>
        </m:r>
        <m:r>
          <m:t>4</m:t>
        </m:r>
        <m:r>
          <m:rPr>
            <m:sty m:val="p"/>
          </m:rPr>
          <m:t>=</m:t>
        </m:r>
        <m:r>
          <m:t>24</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2022-12-15T00:13:43Z</dcterms:created>
  <dcterms:modified xsi:type="dcterms:W3CDTF">2022-12-15T00:13:43Z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qeGlqHO+EiQtWi5XZGGRxA4kGk0qLjiNDm7g41IkE4iN5eDxHzbqeei+jUk1Bb2sN8xjyz6kZZaL5AWTJisQ1Q==</vt:lpwstr>
  </property>
</Properties>
</file>