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01f2ccef73a5f9e3c4213a4ebdbe3aa420113e7"/>
    <w:p>
      <w:pPr>
        <w:pStyle w:val="Heading1"/>
      </w:pPr>
      <w:r>
        <w:t xml:space="preserve">Lesson 2: Attributes of Triangles and Quadrilaterals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Sort triangles and quadrilaterals into subcategories.</w:t>
      </w:r>
    </w:p>
    <w:p>
      <w:pPr>
        <w:numPr>
          <w:ilvl w:val="0"/>
          <w:numId w:val="1001"/>
        </w:numPr>
        <w:pStyle w:val="Compact"/>
      </w:pPr>
      <w:r>
        <w:t xml:space="preserve">Understand that shared attributes of shapes can define a larger category, such as triangle or quadrilateral.</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shapes into more specific categories.</w:t>
      </w:r>
    </w:p>
    <w:bookmarkEnd w:id="25"/>
    <w:bookmarkStart w:id="26" w:name="lesson-purpose"/>
    <w:p>
      <w:pPr>
        <w:pStyle w:val="Heading3"/>
      </w:pPr>
      <w:r>
        <w:t xml:space="preserve">Lesson Purpose</w:t>
      </w:r>
    </w:p>
    <w:p>
      <w:pPr>
        <w:pStyle w:val="FirstParagraph"/>
      </w:pPr>
      <w:r>
        <w:t xml:space="preserve">The purpose of this lesson is for students to use attributes of triangles and quadrilaterals to sort them into more specific categories.</w:t>
      </w:r>
    </w:p>
    <w:p>
      <w:pPr>
        <w:pStyle w:val="BodyText"/>
      </w:pPr>
      <w:r>
        <w:t xml:space="preserve">In the previous lesson, students learned that shapes could be sorted into more than one category depending on the attributes being considered. In this lesson, they learn that shapes with the same number of sides can be further sorted into subgroups based on other attributes. As students sort triangles and quadrilaterals into subgroups, they focus on attributes other than the number of sides, such as the length of the sides or the number of angles. Throughout the lesson, if students have trouble determining if sides have the same length, offer rulers to measure the side lengths.</w:t>
      </w:r>
    </w:p>
    <w:p>
      <w:pPr>
        <w:pStyle w:val="BodyText"/>
      </w:pPr>
      <w:r>
        <w:t xml:space="preserve">The cards in this lesson will be used again in centers.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Card Sort (Activity 1, Activity 2), True or False (Warm-up)</w:t>
      </w:r>
    </w:p>
    <w:bookmarkEnd w:id="36"/>
    <w:bookmarkStart w:id="37" w:name="materials-to-gather"/>
    <w:p>
      <w:pPr>
        <w:pStyle w:val="Heading3"/>
      </w:pPr>
      <w:r>
        <w:t xml:space="preserve">Materials to Gather</w:t>
      </w:r>
    </w:p>
    <w:p>
      <w:pPr>
        <w:numPr>
          <w:ilvl w:val="0"/>
          <w:numId w:val="1005"/>
        </w:numPr>
        <w:pStyle w:val="Compact"/>
      </w:pPr>
      <w:r>
        <w:t xml:space="preserve">Bags or envelopes: Activity 2</w:t>
      </w:r>
    </w:p>
    <w:bookmarkEnd w:id="37"/>
    <w:bookmarkStart w:id="38" w:name="materials-to-copy"/>
    <w:p>
      <w:pPr>
        <w:pStyle w:val="Heading3"/>
      </w:pPr>
      <w:r>
        <w:t xml:space="preserve">Materials to Copy</w:t>
      </w:r>
    </w:p>
    <w:p>
      <w:pPr>
        <w:numPr>
          <w:ilvl w:val="0"/>
          <w:numId w:val="1006"/>
        </w:numPr>
        <w:pStyle w:val="Compact"/>
      </w:pPr>
      <w:r>
        <w:t xml:space="preserve">Triangle Cards Grade 3 (groups of 2): Activity 1</w:t>
      </w:r>
    </w:p>
    <w:p>
      <w:pPr>
        <w:numPr>
          <w:ilvl w:val="0"/>
          <w:numId w:val="1006"/>
        </w:numPr>
        <w:pStyle w:val="Compact"/>
      </w:pPr>
      <w:r>
        <w:t xml:space="preserve">Quadrilateral Cards Grade 3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Today students sorted shapes for different attributes. What strategies for sorting the shapes did you anticipate? Which did you not anticipate?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Describe the Shape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5"/>
    <w:bookmarkStart w:id="49" w:name="student-facing-task-statement"/>
    <w:p>
      <w:pPr>
        <w:pStyle w:val="Heading3"/>
      </w:pPr>
      <w:r>
        <w:t xml:space="preserve">Student-facing Task Statement</w:t>
      </w:r>
    </w:p>
    <w:p>
      <w:pPr>
        <w:pStyle w:val="FirstParagraph"/>
      </w:pPr>
      <w:r>
        <w:drawing>
          <wp:inline>
            <wp:extent cx="1092652" cy="1092652"/>
            <wp:effectExtent b="0" l="0" r="0" t="0"/>
            <wp:docPr descr="A shape with 4 sides." title="" id="47" name="Picture"/>
            <a:graphic>
              <a:graphicData uri="http://schemas.openxmlformats.org/drawingml/2006/picture">
                <pic:pic>
                  <pic:nvPicPr>
                    <pic:cNvPr descr="/app/tmp/embedder-1671013470.8294961.png" id="48" name="Picture"/>
                    <pic:cNvPicPr>
                      <a:picLocks noChangeArrowheads="1" noChangeAspect="1"/>
                    </pic:cNvPicPr>
                  </pic:nvPicPr>
                  <pic:blipFill>
                    <a:blip r:embed="rId46"/>
                    <a:stretch>
                      <a:fillRect/>
                    </a:stretch>
                  </pic:blipFill>
                  <pic:spPr bwMode="auto">
                    <a:xfrm>
                      <a:off x="0" y="0"/>
                      <a:ext cx="1092652" cy="1092652"/>
                    </a:xfrm>
                    <a:prstGeom prst="rect">
                      <a:avLst/>
                    </a:prstGeom>
                    <a:noFill/>
                    <a:ln w="9525">
                      <a:noFill/>
                      <a:headEnd/>
                      <a:tailEnd/>
                    </a:ln>
                  </pic:spPr>
                </pic:pic>
              </a:graphicData>
            </a:graphic>
          </wp:inline>
        </w:drawing>
      </w:r>
    </w:p>
    <w:p>
      <w:pPr>
        <w:pStyle w:val="BodyText"/>
      </w:pPr>
      <w:r>
        <w:t xml:space="preserve">Describe as many attributes of the shape as you can.</w:t>
      </w:r>
    </w:p>
    <w:bookmarkEnd w:id="49"/>
    <w:bookmarkStart w:id="50" w:name="student-responses"/>
    <w:p>
      <w:pPr>
        <w:pStyle w:val="Heading3"/>
      </w:pPr>
      <w:r>
        <w:t xml:space="preserve">Student Responses</w:t>
      </w:r>
    </w:p>
    <w:p>
      <w:pPr>
        <w:pStyle w:val="FirstParagraph"/>
      </w:pPr>
      <w:r>
        <w:t xml:space="preserve">Sample response: It’s a quadrilateral because it has 4 sides. It has 2 sides the same length. It has 2 right angles. It has 2 sides that go in the same direction.</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2022-12-14T10:24:31Z</dcterms:created>
  <dcterms:modified xsi:type="dcterms:W3CDTF">2022-12-14T10:24:31Z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sZcnoj259NZn9Pf7ST6ydtS+tmHnzFQCmKhk1pxB7muVk2L7UTEMi6IQVOUYWp4e7VbP5/NGCRkdIoGm6E7tNg==</vt:lpwstr>
  </property>
</Properties>
</file>