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48.png" ContentType="image/png"/>
  <Override PartName="/word/media/rId51.png" ContentType="image/png"/>
  <Override PartName="/word/media/rId54.png" ContentType="image/png"/>
  <Override PartName="/word/media/rId57.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62" w:name="lesson-10-equivalent-fractions"/>
    <w:p>
      <w:pPr>
        <w:pStyle w:val="Heading1"/>
      </w:pPr>
      <w:r>
        <w:t xml:space="preserve">Lesson 10: Equivalent Fractions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3.NF.A.3.a, 3.NF.A.3.b</w:t>
            </w:r>
          </w:p>
        </w:tc>
      </w:tr>
      <w:tr>
        <w:tc>
          <w:tcPr/>
          <w:p>
            <w:pPr>
              <w:pStyle w:val="Compact"/>
              <w:jc w:val="left"/>
            </w:pPr>
            <w:r>
              <w:t xml:space="preserve">Building Towards</w:t>
            </w:r>
          </w:p>
        </w:tc>
        <w:tc>
          <w:tcPr/>
          <w:p>
            <w:pPr>
              <w:pStyle w:val="Compact"/>
              <w:jc w:val="left"/>
            </w:pPr>
            <w:r>
              <w:t xml:space="preserve">3.NF.A.2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Identify equivalent fractions.</w:t>
      </w:r>
    </w:p>
    <w:p>
      <w:pPr>
        <w:numPr>
          <w:ilvl w:val="0"/>
          <w:numId w:val="1001"/>
        </w:numPr>
        <w:pStyle w:val="Compact"/>
      </w:pPr>
      <w:r>
        <w:t xml:space="preserve">Understand two fractions as equivalent if they are the same size and the parts refer to the same whole.</w:t>
      </w:r>
    </w:p>
    <w:bookmarkEnd w:id="24"/>
    <w:bookmarkStart w:id="25" w:name="student-facing-learning-goals"/>
    <w:p>
      <w:pPr>
        <w:pStyle w:val="Heading3"/>
      </w:pPr>
      <w:r>
        <w:t xml:space="preserve">Student-facing Learning Goals</w:t>
      </w:r>
    </w:p>
    <w:p>
      <w:pPr>
        <w:numPr>
          <w:ilvl w:val="0"/>
          <w:numId w:val="1002"/>
        </w:numPr>
        <w:pStyle w:val="Compact"/>
      </w:pPr>
      <w:r>
        <w:t xml:space="preserve">Let’s identify equivalent fractions.</w:t>
      </w:r>
    </w:p>
    <w:bookmarkEnd w:id="25"/>
    <w:bookmarkStart w:id="26" w:name="lesson-purpose"/>
    <w:p>
      <w:pPr>
        <w:pStyle w:val="Heading3"/>
      </w:pPr>
      <w:r>
        <w:t xml:space="preserve">Lesson Purpose</w:t>
      </w:r>
    </w:p>
    <w:p>
      <w:pPr>
        <w:pStyle w:val="FirstParagraph"/>
      </w:pPr>
      <w:r>
        <w:t xml:space="preserve">The purpose of this lesson is for students to see that different fractions can be equivalent if they are the same size of the same whole.</w:t>
      </w:r>
    </w:p>
    <w:p>
      <w:pPr>
        <w:pStyle w:val="BodyText"/>
      </w:pPr>
      <w:r>
        <w:t xml:space="preserve">Previously, students were introduced to unit fractions and non-unit fractions using area diagrams, fraction strips, and number lines. They began to work with the idea of equivalence by noticing fractions that are also whole numbers. Here, students revisit area diagrams and fraction strips to learn about fraction equivalence. Students learn that fractions that are the same size are </w:t>
      </w:r>
      <w:r>
        <w:rPr>
          <w:bCs/>
          <w:b/>
        </w:rPr>
        <w:t xml:space="preserve">equivalent</w:t>
      </w:r>
      <w:r>
        <w:t xml:space="preserve"> </w:t>
      </w:r>
      <w:r>
        <w:rPr>
          <w:bCs/>
          <w:b/>
        </w:rPr>
        <w:t xml:space="preserve">fractions</w:t>
      </w:r>
      <w:r>
        <w:t xml:space="preserve">. Later, they will identify equivalent fractions as having the same location on a number line.</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1)</w:t>
      </w:r>
    </w:p>
    <w:bookmarkEnd w:id="35"/>
    <w:bookmarkStart w:id="36" w:name="instructional-routines"/>
    <w:p>
      <w:pPr>
        <w:pStyle w:val="Heading3"/>
      </w:pPr>
      <w:r>
        <w:t xml:space="preserve">Instructional Routines</w:t>
      </w:r>
    </w:p>
    <w:p>
      <w:pPr>
        <w:pStyle w:val="FirstParagraph"/>
      </w:pPr>
      <w:r>
        <w:t xml:space="preserve">Choral Count (Warm-up)</w:t>
      </w:r>
    </w:p>
    <w:bookmarkEnd w:id="36"/>
    <w:bookmarkStart w:id="37" w:name="materials-to-gather"/>
    <w:p>
      <w:pPr>
        <w:pStyle w:val="Heading3"/>
      </w:pPr>
      <w:r>
        <w:t xml:space="preserve">Materials to Gather</w:t>
      </w:r>
    </w:p>
    <w:p>
      <w:pPr>
        <w:numPr>
          <w:ilvl w:val="0"/>
          <w:numId w:val="1005"/>
        </w:numPr>
        <w:pStyle w:val="Compact"/>
      </w:pPr>
      <w:r>
        <w:t xml:space="preserve">Materials from a previous lesson: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ideas do students have about what it means for fractions to be equivalent? How can you build on those ideas in this section?</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Find the Equivalent Fractions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3.NF.A.3.a</w:t>
            </w:r>
          </w:p>
        </w:tc>
      </w:tr>
    </w:tbl>
    <w:bookmarkEnd w:id="44"/>
    <w:bookmarkStart w:id="60" w:name="student-facing-task-statement"/>
    <w:p>
      <w:pPr>
        <w:pStyle w:val="Heading3"/>
      </w:pPr>
      <w:r>
        <w:t xml:space="preserve">Student-facing Task Statement</w:t>
      </w:r>
    </w:p>
    <w:p>
      <w:pPr>
        <w:pStyle w:val="FirstParagraph"/>
      </w:pPr>
      <w:r>
        <w:t xml:space="preserve">Each diagram represents 1.</w:t>
      </w:r>
    </w:p>
    <w:p>
      <w:pPr>
        <w:pStyle w:val="BodyText"/>
      </w:pPr>
      <w:r>
        <w:t xml:space="preserve">Select</w:t>
      </w:r>
      <w:r>
        <w:t xml:space="preserve"> </w:t>
      </w:r>
      <w:r>
        <w:rPr>
          <w:bCs/>
          <w:b/>
        </w:rPr>
        <w:t xml:space="preserve">all</w:t>
      </w:r>
      <w:r>
        <w:t xml:space="preserve"> </w:t>
      </w:r>
      <w:r>
        <w:t xml:space="preserve">the diagrams whose shaded parts represent equivalent fractions. Explain your reasoning.</w:t>
      </w:r>
    </w:p>
    <w:p>
      <w:pPr>
        <w:pStyle w:val="BodyText"/>
      </w:pPr>
      <w:r>
        <w:t xml:space="preserve">A</w:t>
      </w:r>
      <w:r>
        <w:drawing>
          <wp:inline>
            <wp:extent cx="2971800" cy="320045"/>
            <wp:effectExtent b="0" l="0" r="0" t="0"/>
            <wp:docPr descr="Diagram. Rectangle partitioned into 4 equal parts, 3 parts shaded." title="" id="46" name="Picture"/>
            <a:graphic>
              <a:graphicData uri="http://schemas.openxmlformats.org/drawingml/2006/picture">
                <pic:pic>
                  <pic:nvPicPr>
                    <pic:cNvPr descr="/app/tmp/embedder-1671013280.723756.png" id="47" name="Picture"/>
                    <pic:cNvPicPr>
                      <a:picLocks noChangeArrowheads="1" noChangeAspect="1"/>
                    </pic:cNvPicPr>
                  </pic:nvPicPr>
                  <pic:blipFill>
                    <a:blip r:embed="rId45"/>
                    <a:stretch>
                      <a:fillRect/>
                    </a:stretch>
                  </pic:blipFill>
                  <pic:spPr bwMode="auto">
                    <a:xfrm>
                      <a:off x="0" y="0"/>
                      <a:ext cx="2971800" cy="320045"/>
                    </a:xfrm>
                    <a:prstGeom prst="rect">
                      <a:avLst/>
                    </a:prstGeom>
                    <a:noFill/>
                    <a:ln w="9525">
                      <a:noFill/>
                      <a:headEnd/>
                      <a:tailEnd/>
                    </a:ln>
                  </pic:spPr>
                </pic:pic>
              </a:graphicData>
            </a:graphic>
          </wp:inline>
        </w:drawing>
      </w:r>
    </w:p>
    <w:p>
      <w:pPr>
        <w:pStyle w:val="BodyText"/>
      </w:pPr>
      <w:r>
        <w:t xml:space="preserve">B</w:t>
      </w:r>
      <w:r>
        <w:drawing>
          <wp:inline>
            <wp:extent cx="2971800" cy="320045"/>
            <wp:effectExtent b="0" l="0" r="0" t="0"/>
            <wp:docPr descr="Diagram. Rectangle partitioned into 2 parts, 1 part shaded." title="" id="49" name="Picture"/>
            <a:graphic>
              <a:graphicData uri="http://schemas.openxmlformats.org/drawingml/2006/picture">
                <pic:pic>
                  <pic:nvPicPr>
                    <pic:cNvPr descr="/app/tmp/embedder-1671013280.7614808.png" id="50" name="Picture"/>
                    <pic:cNvPicPr>
                      <a:picLocks noChangeArrowheads="1" noChangeAspect="1"/>
                    </pic:cNvPicPr>
                  </pic:nvPicPr>
                  <pic:blipFill>
                    <a:blip r:embed="rId48"/>
                    <a:stretch>
                      <a:fillRect/>
                    </a:stretch>
                  </pic:blipFill>
                  <pic:spPr bwMode="auto">
                    <a:xfrm>
                      <a:off x="0" y="0"/>
                      <a:ext cx="2971800" cy="320045"/>
                    </a:xfrm>
                    <a:prstGeom prst="rect">
                      <a:avLst/>
                    </a:prstGeom>
                    <a:noFill/>
                    <a:ln w="9525">
                      <a:noFill/>
                      <a:headEnd/>
                      <a:tailEnd/>
                    </a:ln>
                  </pic:spPr>
                </pic:pic>
              </a:graphicData>
            </a:graphic>
          </wp:inline>
        </w:drawing>
      </w:r>
    </w:p>
    <w:p>
      <w:pPr>
        <w:pStyle w:val="BodyText"/>
      </w:pPr>
      <w:r>
        <w:t xml:space="preserve">C</w:t>
      </w:r>
      <w:r>
        <w:drawing>
          <wp:inline>
            <wp:extent cx="2971800" cy="320045"/>
            <wp:effectExtent b="0" l="0" r="0" t="0"/>
            <wp:docPr descr="Diagram. Rectangle partitioned into 3 equal parts, 2 parts shaded." title="" id="52" name="Picture"/>
            <a:graphic>
              <a:graphicData uri="http://schemas.openxmlformats.org/drawingml/2006/picture">
                <pic:pic>
                  <pic:nvPicPr>
                    <pic:cNvPr descr="/app/tmp/embedder-1671013280.8376591.png" id="53" name="Picture"/>
                    <pic:cNvPicPr>
                      <a:picLocks noChangeArrowheads="1" noChangeAspect="1"/>
                    </pic:cNvPicPr>
                  </pic:nvPicPr>
                  <pic:blipFill>
                    <a:blip r:embed="rId51"/>
                    <a:stretch>
                      <a:fillRect/>
                    </a:stretch>
                  </pic:blipFill>
                  <pic:spPr bwMode="auto">
                    <a:xfrm>
                      <a:off x="0" y="0"/>
                      <a:ext cx="2971800" cy="320045"/>
                    </a:xfrm>
                    <a:prstGeom prst="rect">
                      <a:avLst/>
                    </a:prstGeom>
                    <a:noFill/>
                    <a:ln w="9525">
                      <a:noFill/>
                      <a:headEnd/>
                      <a:tailEnd/>
                    </a:ln>
                  </pic:spPr>
                </pic:pic>
              </a:graphicData>
            </a:graphic>
          </wp:inline>
        </w:drawing>
      </w:r>
    </w:p>
    <w:p>
      <w:pPr>
        <w:pStyle w:val="BodyText"/>
      </w:pPr>
      <w:r>
        <w:t xml:space="preserve">D</w:t>
      </w:r>
      <w:r>
        <w:drawing>
          <wp:inline>
            <wp:extent cx="2971800" cy="320045"/>
            <wp:effectExtent b="0" l="0" r="0" t="0"/>
            <wp:docPr descr="Diagram. Rectangle partitioned into 4 equal parts, 1 part shaded." title="" id="55" name="Picture"/>
            <a:graphic>
              <a:graphicData uri="http://schemas.openxmlformats.org/drawingml/2006/picture">
                <pic:pic>
                  <pic:nvPicPr>
                    <pic:cNvPr descr="/app/tmp/embedder-1671013280.9185705.png" id="56" name="Picture"/>
                    <pic:cNvPicPr>
                      <a:picLocks noChangeArrowheads="1" noChangeAspect="1"/>
                    </pic:cNvPicPr>
                  </pic:nvPicPr>
                  <pic:blipFill>
                    <a:blip r:embed="rId54"/>
                    <a:stretch>
                      <a:fillRect/>
                    </a:stretch>
                  </pic:blipFill>
                  <pic:spPr bwMode="auto">
                    <a:xfrm>
                      <a:off x="0" y="0"/>
                      <a:ext cx="2971800" cy="320045"/>
                    </a:xfrm>
                    <a:prstGeom prst="rect">
                      <a:avLst/>
                    </a:prstGeom>
                    <a:noFill/>
                    <a:ln w="9525">
                      <a:noFill/>
                      <a:headEnd/>
                      <a:tailEnd/>
                    </a:ln>
                  </pic:spPr>
                </pic:pic>
              </a:graphicData>
            </a:graphic>
          </wp:inline>
        </w:drawing>
      </w:r>
    </w:p>
    <w:p>
      <w:pPr>
        <w:pStyle w:val="BodyText"/>
      </w:pPr>
      <w:r>
        <w:t xml:space="preserve">E</w:t>
      </w:r>
      <w:r>
        <w:drawing>
          <wp:inline>
            <wp:extent cx="2971800" cy="320045"/>
            <wp:effectExtent b="0" l="0" r="0" t="0"/>
            <wp:docPr descr="Diagram. Rectangle partitioned into 6 equal parts, 4 of them shaded." title="" id="58" name="Picture"/>
            <a:graphic>
              <a:graphicData uri="http://schemas.openxmlformats.org/drawingml/2006/picture">
                <pic:pic>
                  <pic:nvPicPr>
                    <pic:cNvPr descr="/app/tmp/embedder-1671013280.9999576.png" id="59" name="Picture"/>
                    <pic:cNvPicPr>
                      <a:picLocks noChangeArrowheads="1" noChangeAspect="1"/>
                    </pic:cNvPicPr>
                  </pic:nvPicPr>
                  <pic:blipFill>
                    <a:blip r:embed="rId57"/>
                    <a:stretch>
                      <a:fillRect/>
                    </a:stretch>
                  </pic:blipFill>
                  <pic:spPr bwMode="auto">
                    <a:xfrm>
                      <a:off x="0" y="0"/>
                      <a:ext cx="2971800" cy="320045"/>
                    </a:xfrm>
                    <a:prstGeom prst="rect">
                      <a:avLst/>
                    </a:prstGeom>
                    <a:noFill/>
                    <a:ln w="9525">
                      <a:noFill/>
                      <a:headEnd/>
                      <a:tailEnd/>
                    </a:ln>
                  </pic:spPr>
                </pic:pic>
              </a:graphicData>
            </a:graphic>
          </wp:inline>
        </w:drawing>
      </w:r>
    </w:p>
    <w:bookmarkEnd w:id="60"/>
    <w:bookmarkStart w:id="61" w:name="student-responses"/>
    <w:p>
      <w:pPr>
        <w:pStyle w:val="Heading3"/>
      </w:pPr>
      <w:r>
        <w:t xml:space="preserve">Student Responses</w:t>
      </w:r>
    </w:p>
    <w:p>
      <w:pPr>
        <w:pStyle w:val="FirstParagraph"/>
      </w:pPr>
      <w:r>
        <w:t xml:space="preserve">C and E. Sample responses: They show different fractions, but are the same size.  They are partitioned into different numbers of parts, but the shaded portions are the same size.</w:t>
      </w:r>
    </w:p>
    <w:bookmarkEnd w:id="61"/>
    <w:bookmarkEnd w:id="6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51" Target="media/rId51.png" /><Relationship Type="http://schemas.openxmlformats.org/officeDocument/2006/relationships/image" Id="rId54" Target="media/rId54.png" /><Relationship Type="http://schemas.openxmlformats.org/officeDocument/2006/relationships/image" Id="rId57" Target="media/rId57.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2022-12-14T10:21:21Z</dcterms:created>
  <dcterms:modified xsi:type="dcterms:W3CDTF">2022-12-14T10:21:21Z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z8V8R36mh+cPo8NW6z5ZCmxftDR9NQXDYV+M8zZf9NXrwTkeEi5/uspHYEi6WnViVbfNsmm/WNjk1WmDQlD3iA==</vt:lpwstr>
  </property>
</Properties>
</file>