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14</w:t>
      </w:r>
    </w:p>
    <w:bookmarkStart w:id="32" w:name="lesson-465744"/>
    <w:p>
      <w:pPr>
        <w:pStyle w:val="Heading1"/>
      </w:pPr>
      <w:r>
        <w:t xml:space="preserve">Solving Percentage Problems</w:t>
      </w:r>
    </w:p>
    <w:p>
      <w:pPr>
        <w:pStyle w:val="FirstParagraph"/>
      </w:pPr>
      <w:r>
        <w:t xml:space="preserve">Let’s solve more percentage problems.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0" w:name="activity-465745"/>
    <w:p>
      <w:pPr>
        <w:pStyle w:val="Heading2"/>
      </w:pPr>
      <w:r>
        <w:t xml:space="preserve">14.1</w:t>
      </w:r>
      <w:r>
        <w:t xml:space="preserve">Matching the Percentage</w:t>
      </w:r>
    </w:p>
    <w:p>
      <w:pPr>
        <w:pStyle w:val="FirstParagraph"/>
      </w:pPr>
      <w:r>
        <w:t xml:space="preserve">Match each question in the left column with a percentage in the right column. One percentage will be left over.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5 is what percentage of 20?</w:t>
      </w:r>
    </w:p>
    <w:p>
      <w:pPr>
        <w:numPr>
          <w:ilvl w:val="0"/>
          <w:numId w:val="1001"/>
        </w:numPr>
        <w:pStyle w:val="Compact"/>
      </w:pPr>
      <w:r>
        <w:t xml:space="preserve">3 is what percentage of 30?</w:t>
      </w:r>
    </w:p>
    <w:p>
      <w:pPr>
        <w:numPr>
          <w:ilvl w:val="0"/>
          <w:numId w:val="1001"/>
        </w:numPr>
        <w:pStyle w:val="Compact"/>
      </w:pPr>
      <w:r>
        <w:t xml:space="preserve">6 is what percentage of 8?</w:t>
      </w:r>
    </w:p>
    <w:p>
      <w:pPr>
        <w:numPr>
          <w:ilvl w:val="0"/>
          <w:numId w:val="1001"/>
        </w:numPr>
        <w:pStyle w:val="Compact"/>
      </w:pPr>
      <w:r>
        <w:t xml:space="preserve">20 is what percentage of 5?</w:t>
      </w:r>
    </w:p>
    <w:p>
      <w:pPr>
        <w:numPr>
          <w:ilvl w:val="0"/>
          <w:numId w:val="1002"/>
        </w:numPr>
        <w:pStyle w:val="Compact"/>
      </w:pPr>
      <w:r>
        <w:t xml:space="preserve">4%</w:t>
      </w:r>
    </w:p>
    <w:p>
      <w:pPr>
        <w:numPr>
          <w:ilvl w:val="0"/>
          <w:numId w:val="1002"/>
        </w:numPr>
        <w:pStyle w:val="Compact"/>
      </w:pPr>
      <w:r>
        <w:t xml:space="preserve">10%</w:t>
      </w:r>
    </w:p>
    <w:p>
      <w:pPr>
        <w:numPr>
          <w:ilvl w:val="0"/>
          <w:numId w:val="1002"/>
        </w:numPr>
        <w:pStyle w:val="Compact"/>
      </w:pPr>
      <w:r>
        <w:t xml:space="preserve">25%</w:t>
      </w:r>
    </w:p>
    <w:p>
      <w:pPr>
        <w:numPr>
          <w:ilvl w:val="0"/>
          <w:numId w:val="1002"/>
        </w:numPr>
        <w:pStyle w:val="Compact"/>
      </w:pPr>
      <w:r>
        <w:t xml:space="preserve">75%</w:t>
      </w:r>
    </w:p>
    <w:p>
      <w:pPr>
        <w:numPr>
          <w:ilvl w:val="0"/>
          <w:numId w:val="1002"/>
        </w:numPr>
        <w:pStyle w:val="Compact"/>
      </w:pPr>
      <w:r>
        <w:t xml:space="preserve">400%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1" w:name="activity-465747"/>
    <w:p>
      <w:pPr>
        <w:pStyle w:val="Heading2"/>
      </w:pPr>
      <w:r>
        <w:t xml:space="preserve">14.2</w:t>
      </w:r>
      <w:r>
        <w:t xml:space="preserve">Info Gap: Music Devices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 “Can you tell me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3"/>
        </w:numPr>
      </w:pPr>
      <w:r>
        <w:t xml:space="preserve">Explain to your partner how you are using the information to solve the problem. “I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 . . . .”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3"/>
        </w:numPr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4"/>
        </w:numPr>
      </w:pPr>
      <w:r>
        <w:t xml:space="preserve">Silently read your card. Wait for your partner to ask for information.</w:t>
      </w:r>
    </w:p>
    <w:p>
      <w:pPr>
        <w:numPr>
          <w:ilvl w:val="0"/>
          <w:numId w:val="1004"/>
        </w:numPr>
      </w:pPr>
      <w:r>
        <w:t xml:space="preserve">Before telling your partner any information, ask, “Why do you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4"/>
        </w:numPr>
      </w:pPr>
      <w:r>
        <w:t xml:space="preserve">Listen to your partner’s reasoning and ask clarifying questions. Only give information that is on your card. Do not figure out anything for your partner!</w:t>
      </w:r>
    </w:p>
    <w:p>
      <w:pPr>
        <w:numPr>
          <w:ilvl w:val="0"/>
          <w:numId w:val="1000"/>
        </w:numPr>
      </w:pPr>
      <w:r>
        <w:t xml:space="preserve">These steps may be repeated.</w:t>
      </w:r>
    </w:p>
    <w:p>
      <w:pPr>
        <w:numPr>
          <w:ilvl w:val="0"/>
          <w:numId w:val="1004"/>
        </w:numPr>
      </w:pPr>
      <w:r>
        <w:t xml:space="preserve">Once your partner says they have enough information to solve the problem, read the problem card, and solve the problem independently.</w:t>
      </w:r>
    </w:p>
    <w:p>
      <w:pPr>
        <w:numPr>
          <w:ilvl w:val="0"/>
          <w:numId w:val="1004"/>
        </w:numPr>
      </w:pPr>
      <w:r>
        <w:t xml:space="preserve">Share the data card, and discuss your reasoning.</w:t>
      </w:r>
    </w:p>
    <w:p>
      <w:pPr>
        <w:pStyle w:val="FirstParagraph"/>
      </w:pPr>
      <w:r>
        <w:t xml:space="preserve"> </w:t>
      </w:r>
    </w:p>
    <w:bookmarkEnd w:id="21"/>
    <w:bookmarkStart w:id="31" w:name="lesson-465744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In a situation that involves percentages, there are often three questions we are interested in answering.</w:t>
      </w:r>
    </w:p>
    <w:p>
      <w:pPr>
        <w:pStyle w:val="BodyText"/>
      </w:pPr>
      <w:r>
        <w:t xml:space="preserve">Suppose a tank is filled with some water.</w:t>
      </w:r>
    </w:p>
    <w:p>
      <w:pPr>
        <w:numPr>
          <w:ilvl w:val="0"/>
          <w:numId w:val="1005"/>
        </w:numPr>
        <w:pStyle w:val="Compact"/>
      </w:pPr>
      <w:r>
        <w:t xml:space="preserve">If we know that the tank is 25% filled and can hold 36 liters, we can ask: What is 25% of 36 liters?</w:t>
      </w:r>
    </w:p>
    <w:p>
      <w:pPr>
        <w:numPr>
          <w:ilvl w:val="0"/>
          <w:numId w:val="1005"/>
        </w:numPr>
        <w:pStyle w:val="Compact"/>
      </w:pPr>
      <w:r>
        <w:t xml:space="preserve">If we know that the tank has 9 liters and is 25% filled, we can ask: How many liters are in a full tank?</w:t>
      </w:r>
    </w:p>
    <w:p>
      <w:pPr>
        <w:numPr>
          <w:ilvl w:val="0"/>
          <w:numId w:val="1005"/>
        </w:numPr>
        <w:pStyle w:val="Compact"/>
      </w:pPr>
      <w:r>
        <w:t xml:space="preserve">If we know that the tank has 9 liters but can hold 36 liters when full, we can ask: What percentage of 36 liters is 9 liters?</w:t>
      </w:r>
    </w:p>
    <w:p>
      <w:pPr>
        <w:pStyle w:val="FirstParagraph"/>
      </w:pPr>
      <w:r>
        <w:t xml:space="preserve">We can use a double number line diagram, a table, or a tape diagram to help us reason about each question.</w:t>
      </w:r>
    </w:p>
    <w:p>
      <w:pPr>
        <w:pStyle w:val="BodyText"/>
      </w:pPr>
      <w:r>
        <w:drawing>
          <wp:inline>
            <wp:extent cx="4572000" cy="1371600"/>
            <wp:effectExtent b="0" l="0" r="0" t="0"/>
            <wp:docPr descr="Double number line, 5 evenly spaced tick marks. Top line, volume, liters. Scale 0 to 36, by 9’s. Bottom line, percent. Scale 0 to 100, by 25’s." title="" id="23" name="Picture"/>
            <a:graphic>
              <a:graphicData uri="http://schemas.openxmlformats.org/drawingml/2006/picture">
                <pic:pic>
                  <pic:nvPicPr>
                    <pic:cNvPr descr="/app/tmp/embedder-1732017587.10438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2464" cy="106778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732017587.20350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64" cy="10677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32588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732017587.2819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use our knowledge of fractions or relationships between numbers. For instance, we know that 9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36, or</w:t>
      </w:r>
      <w:r>
        <w:t xml:space="preserve"> </w:t>
      </w:r>
      <m:oMath>
        <m:r>
          <m:t>36</m:t>
        </m:r>
        <m:r>
          <m:rPr>
            <m:sty m:val="p"/>
          </m:rPr>
          <m:t>÷</m:t>
        </m:r>
        <m:r>
          <m:t>4</m:t>
        </m:r>
      </m:oMath>
      <w:r>
        <w:t xml:space="preserve">, so it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100% or 25%.</w:t>
      </w:r>
    </w:p>
    <w:p>
      <w:pPr>
        <w:pStyle w:val="BodyText"/>
      </w:pPr>
      <w:r>
        <w:t xml:space="preserve">In general, in a situation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C</m:t>
        </m:r>
      </m:oMath>
      <w:r>
        <w:t xml:space="preserve">, we can find the value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 we know the other two values.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2024-11-19T11:59:48Z</dcterms:created>
  <dcterms:modified xsi:type="dcterms:W3CDTF">2024-11-19T11:59:48Z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