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6.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5-hagamos-diagramas-de-puntos"/>
    <w:p>
      <w:pPr>
        <w:pStyle w:val="Heading1"/>
      </w:pPr>
      <w:r>
        <w:t xml:space="preserve">Lesson 15: Hagamos diagramas de puntos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2.MD.D.9,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numerical data in a line plot.</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datos en diagramas de puntos.</w:t>
      </w:r>
    </w:p>
    <w:bookmarkEnd w:id="25"/>
    <w:bookmarkStart w:id="26" w:name="lesson-purpose"/>
    <w:p>
      <w:pPr>
        <w:pStyle w:val="Heading3"/>
      </w:pPr>
      <w:r>
        <w:t xml:space="preserve">Lesson Purpose</w:t>
      </w:r>
    </w:p>
    <w:p>
      <w:pPr>
        <w:pStyle w:val="FirstParagraph"/>
      </w:pPr>
      <w:r>
        <w:t xml:space="preserve">The purpose of this lesson is for students to create line plots to represent numerical data.</w:t>
      </w:r>
    </w:p>
    <w:p>
      <w:pPr>
        <w:pStyle w:val="BodyText"/>
      </w:pPr>
      <w:r>
        <w:t xml:space="preserve">In an earlier lesson, students learned about the features of a line plot. They interpreted a line plot that represented data from measurements they made in inches.</w:t>
      </w:r>
    </w:p>
    <w:p>
      <w:pPr>
        <w:pStyle w:val="BodyText"/>
      </w:pPr>
      <w:r>
        <w:t xml:space="preserve">In this lesson, students measure the lengths of pencils in centimeters and represent the data on their own in a line plot. In Activity 2, students make sense of line plots that do not start at 0. They choose an appropriate starting and ending number based on the data (MP6). In the lesson synthesis, students interpret the data presented in a line plot with a scale that does not start at 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MLR8 Discussion Supports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Objects of various lengths: Activity 1</w:t>
      </w:r>
    </w:p>
    <w:p>
      <w:pPr>
        <w:numPr>
          <w:ilvl w:val="0"/>
          <w:numId w:val="1004"/>
        </w:numPr>
        <w:pStyle w:val="Compact"/>
      </w:pPr>
      <w:r>
        <w:t xml:space="preserve">Rulers (centimeters): Activity 1</w:t>
      </w:r>
    </w:p>
    <w:bookmarkEnd w:id="33"/>
    <w:bookmarkStart w:id="34" w:name="materials-to-copy"/>
    <w:p>
      <w:pPr>
        <w:pStyle w:val="Heading3"/>
      </w:pPr>
      <w:r>
        <w:t xml:space="preserve">Materials to Copy</w:t>
      </w:r>
    </w:p>
    <w:p>
      <w:pPr>
        <w:numPr>
          <w:ilvl w:val="0"/>
          <w:numId w:val="1005"/>
        </w:numPr>
        <w:pStyle w:val="Compact"/>
      </w:pPr>
      <w:r>
        <w:t xml:space="preserve">Line Plot Template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What did you say, do, or ask to support students in creating a line plot based on an understanding of the representation, rather than following a procedure?</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Palmos del grupo de Mai</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2.MD.D.9</w:t>
            </w:r>
          </w:p>
        </w:tc>
      </w:tr>
    </w:tbl>
    <w:bookmarkEnd w:id="41"/>
    <w:bookmarkStart w:id="45" w:name="student-facing-task-statement"/>
    <w:p>
      <w:pPr>
        <w:pStyle w:val="Heading3"/>
      </w:pPr>
      <w:r>
        <w:t xml:space="preserve">Student-facing Task Statement</w:t>
      </w:r>
    </w:p>
    <w:p>
      <w:pPr>
        <w:numPr>
          <w:ilvl w:val="0"/>
          <w:numId w:val="1006"/>
        </w:numPr>
      </w:pPr>
      <w:r>
        <w:t xml:space="preserve">Mai hizo estas afirmaciones sobre las longitudes de los palmos de los estudiantes de su grupo.</w:t>
      </w:r>
    </w:p>
    <w:p>
      <w:pPr>
        <w:numPr>
          <w:ilvl w:val="1"/>
          <w:numId w:val="1007"/>
        </w:numPr>
        <w:pStyle w:val="Compact"/>
      </w:pPr>
      <w:r>
        <w:t xml:space="preserve">Cuatro estudiantes tienen un palmo de 18 cm.</w:t>
      </w:r>
    </w:p>
    <w:p>
      <w:pPr>
        <w:numPr>
          <w:ilvl w:val="1"/>
          <w:numId w:val="1007"/>
        </w:numPr>
        <w:pStyle w:val="Compact"/>
      </w:pPr>
      <w:r>
        <w:t xml:space="preserve">Dos estudiantes tienen un palmo de 16 cm.</w:t>
      </w:r>
    </w:p>
    <w:p>
      <w:pPr>
        <w:numPr>
          <w:ilvl w:val="1"/>
          <w:numId w:val="1007"/>
        </w:numPr>
        <w:pStyle w:val="Compact"/>
      </w:pPr>
      <w:r>
        <w:t xml:space="preserve">Dos estudiantes tienen un palmo de 19 cm.</w:t>
      </w:r>
    </w:p>
    <w:p>
      <w:pPr>
        <w:numPr>
          <w:ilvl w:val="1"/>
          <w:numId w:val="1007"/>
        </w:numPr>
        <w:pStyle w:val="Compact"/>
      </w:pPr>
      <w:r>
        <w:t xml:space="preserve">Un estudiante tiene un palmo de 20 cm.</w:t>
      </w:r>
    </w:p>
    <w:p>
      <w:pPr>
        <w:numPr>
          <w:ilvl w:val="0"/>
          <w:numId w:val="1000"/>
        </w:numPr>
      </w:pPr>
      <w:r>
        <w:t xml:space="preserve">Completa el diagrama de puntos para que corresponda con los datos de Mai.</w:t>
      </w:r>
    </w:p>
    <w:p>
      <w:pPr>
        <w:numPr>
          <w:ilvl w:val="0"/>
          <w:numId w:val="1000"/>
        </w:numPr>
        <w:pStyle w:val="Compact"/>
      </w:pPr>
      <w:r>
        <w:drawing>
          <wp:inline>
            <wp:extent cx="4489272" cy="1262584"/>
            <wp:effectExtent b="0" l="0" r="0" t="0"/>
            <wp:docPr descr="Line plot titled Hand Span of Mai's Group. From 1 to 20 by ones. Horizontal axis labeled length, in centimeters. Beginning at 15, the number of x’s above each increment is 1, 2, 1, 2, 1." title="" id="43" name="Picture"/>
            <a:graphic>
              <a:graphicData uri="http://schemas.openxmlformats.org/drawingml/2006/picture">
                <pic:pic>
                  <pic:nvPicPr>
                    <pic:cNvPr descr="/app/tmp/embedder-1671060355.4609308.png" id="44" name="Picture"/>
                    <pic:cNvPicPr>
                      <a:picLocks noChangeArrowheads="1" noChangeAspect="1"/>
                    </pic:cNvPicPr>
                  </pic:nvPicPr>
                  <pic:blipFill>
                    <a:blip r:embed="rId42"/>
                    <a:stretch>
                      <a:fillRect/>
                    </a:stretch>
                  </pic:blipFill>
                  <pic:spPr bwMode="auto">
                    <a:xfrm>
                      <a:off x="0" y="0"/>
                      <a:ext cx="4489272" cy="1262584"/>
                    </a:xfrm>
                    <a:prstGeom prst="rect">
                      <a:avLst/>
                    </a:prstGeom>
                    <a:noFill/>
                    <a:ln w="9525">
                      <a:noFill/>
                      <a:headEnd/>
                      <a:tailEnd/>
                    </a:ln>
                  </pic:spPr>
                </pic:pic>
              </a:graphicData>
            </a:graphic>
          </wp:inline>
        </w:drawing>
      </w:r>
    </w:p>
    <w:bookmarkEnd w:id="45"/>
    <w:bookmarkStart w:id="49" w:name="student-responses"/>
    <w:p>
      <w:pPr>
        <w:pStyle w:val="Heading3"/>
      </w:pPr>
      <w:r>
        <w:t xml:space="preserve">Student Responses</w:t>
      </w:r>
    </w:p>
    <w:p>
      <w:pPr>
        <w:numPr>
          <w:ilvl w:val="0"/>
          <w:numId w:val="1008"/>
        </w:numPr>
        <w:pStyle w:val="Compact"/>
      </w:pPr>
      <w:r>
        <w:t xml:space="preserve"> </w:t>
      </w:r>
    </w:p>
    <w:p>
      <w:pPr>
        <w:numPr>
          <w:ilvl w:val="0"/>
          <w:numId w:val="1000"/>
        </w:numPr>
        <w:pStyle w:val="Compact"/>
      </w:pPr>
      <w:r>
        <w:drawing>
          <wp:inline>
            <wp:extent cx="4489272" cy="1262584"/>
            <wp:effectExtent b="0" l="0" r="0" t="0"/>
            <wp:docPr descr="Dot plot titled Hand Spans of Mai's Group from 0 to 20 by 1’s." title="" id="47" name="Picture"/>
            <a:graphic>
              <a:graphicData uri="http://schemas.openxmlformats.org/drawingml/2006/picture">
                <pic:pic>
                  <pic:nvPicPr>
                    <pic:cNvPr descr="/app/tmp/embedder-1671060355.5491781.png" id="48" name="Picture"/>
                    <pic:cNvPicPr>
                      <a:picLocks noChangeArrowheads="1" noChangeAspect="1"/>
                    </pic:cNvPicPr>
                  </pic:nvPicPr>
                  <pic:blipFill>
                    <a:blip r:embed="rId46"/>
                    <a:stretch>
                      <a:fillRect/>
                    </a:stretch>
                  </pic:blipFill>
                  <pic:spPr bwMode="auto">
                    <a:xfrm>
                      <a:off x="0" y="0"/>
                      <a:ext cx="4489272" cy="1262584"/>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2022-12-14T23:25:56Z</dcterms:created>
  <dcterms:modified xsi:type="dcterms:W3CDTF">2022-12-14T23:25:56Z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yG2BN6w293+LUZLHTtUxYOiloJJ4Me00boNtna+FaHTsacRuwL4PIk61MdkfsR0I0U3ZFGy7sC/rCYjt24prKQ==</vt:lpwstr>
  </property>
</Properties>
</file>