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9c010af107e5f0653030832981659044f7fd40"/>
    <w:p>
      <w:pPr>
        <w:pStyle w:val="Heading2"/>
      </w:pPr>
      <w:r>
        <w:t xml:space="preserve">Unit 2 Lesson 15: Denominadores comunes para comparar</w:t>
      </w:r>
    </w:p>
    <w:bookmarkEnd w:id="20"/>
    <w:bookmarkStart w:id="22" w:name="wu-qué-sabes-sobre-el-15-y-el-30-warm-up"/>
    <w:p>
      <w:pPr>
        <w:pStyle w:val="Heading3"/>
      </w:pPr>
      <w:r>
        <w:t xml:space="preserve">WU ¿Qué sabes sobre el 15 y el 30?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sobre el 15 y el 30?</w:t>
      </w:r>
    </w:p>
    <w:bookmarkEnd w:id="21"/>
    <w:bookmarkEnd w:id="22"/>
    <w:bookmarkStart w:id="24" w:name="fracciones-complicadas"/>
    <w:p>
      <w:pPr>
        <w:pStyle w:val="Heading3"/>
      </w:pPr>
      <w:r>
        <w:t xml:space="preserve">1 ¿Fracciones complicadas?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En cada pareja de fracciones, ¿cuál fracción es mayor? Explica o muestra tu razonamiento.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13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1"/>
        </w:numPr>
        <w:pStyle w:val="Compact"/>
      </w:pPr>
      <w:r>
        <w:t xml:space="preserve">Han dice que puede comparar 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13</m:t>
            </m:r>
          </m:num>
          <m:den>
            <m:r>
              <m:t>12</m:t>
            </m:r>
          </m:den>
        </m:f>
      </m:oMath>
      <w:r>
        <w:t xml:space="preserve"> escribiendo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como una fracción equivalente. Dice que no puede usar esta estrategia para comparar 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. ¿Estás de acuerdo? Explica tu razonamiento.</w:t>
      </w:r>
    </w:p>
    <w:p>
      <w:pPr>
        <w:numPr>
          <w:ilvl w:val="0"/>
          <w:numId w:val="1001"/>
        </w:numPr>
      </w:pPr>
      <w:r>
        <w:t xml:space="preserve">Priya y Lin mostraron diferentes formas de comparar 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. Trata de entender lo que hicieron. ¿En qué se parecen sus estrategias? ¿En qué son diferentes?</w:t>
      </w:r>
    </w:p>
    <w:p>
      <w:pPr>
        <w:numPr>
          <w:ilvl w:val="0"/>
          <w:numId w:val="1000"/>
        </w:numPr>
      </w:pPr>
      <w:r>
        <w:t xml:space="preserve">Priya: </w:t>
      </w:r>
      <m:oMath>
        <m:f>
          <m:fPr>
            <m:type m:val="bar"/>
          </m:fPr>
          <m:num>
            <m:r>
              <m:t>4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5</m:t>
            </m:r>
          </m:num>
          <m:den>
            <m:r>
              <m:t>3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20</m:t>
            </m:r>
          </m:num>
          <m:den>
            <m:r>
              <m:t>15</m:t>
            </m:r>
          </m:den>
        </m:f>
        <m:r>
          <m:t> </m:t>
        </m:r>
        <m:f>
          <m:fPr>
            <m:type m:val="bar"/>
          </m:fPr>
          <m:num>
            <m:r>
              <m:t>7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3</m:t>
            </m:r>
          </m:num>
          <m:den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21</m:t>
            </m:r>
          </m:num>
          <m:den>
            <m:r>
              <m:t>15</m:t>
            </m:r>
          </m:den>
        </m:f>
      </m:oMath>
    </w:p>
    <w:p>
      <w:pPr>
        <w:numPr>
          <w:ilvl w:val="0"/>
          <w:numId w:val="1000"/>
        </w:numPr>
      </w:pPr>
      <w:r>
        <w:t xml:space="preserve">​​</w:t>
      </w:r>
      <m:oMath>
        <m:f>
          <m:fPr>
            <m:type m:val="bar"/>
          </m:fPr>
          <m:num>
            <m:r>
              <m:t>21</m:t>
            </m:r>
          </m:num>
          <m:den>
            <m:r>
              <m:t>15</m:t>
            </m:r>
          </m:den>
        </m:f>
      </m:oMath>
      <w:r>
        <w:t xml:space="preserve"> </w:t>
      </w:r>
      <w:r>
        <w:t xml:space="preserve">es mayor que </w:t>
      </w:r>
      <m:oMath>
        <m:f>
          <m:fPr>
            <m:type m:val="bar"/>
          </m:fPr>
          <m:num>
            <m:r>
              <m:t>20</m:t>
            </m:r>
          </m:num>
          <m:den>
            <m:r>
              <m:t>15</m:t>
            </m:r>
          </m:den>
        </m:f>
      </m:oMath>
      <w:r>
        <w:t xml:space="preserve">, así que ​​​​​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es mayor que 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Lin: </w:t>
      </w:r>
      <m:oMath>
        <m:f>
          <m:fPr>
            <m:type m:val="bar"/>
          </m:fPr>
          <m:num>
            <m:r>
              <m:t>4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10</m:t>
            </m:r>
          </m:num>
          <m:den>
            <m:r>
              <m:t>3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40</m:t>
            </m:r>
          </m:num>
          <m:den>
            <m:r>
              <m:t>30</m:t>
            </m:r>
          </m:den>
        </m:f>
        <m:r>
          <m:t> </m:t>
        </m:r>
        <m:f>
          <m:fPr>
            <m:type m:val="bar"/>
          </m:fPr>
          <m:num>
            <m:r>
              <m:t>7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6</m:t>
            </m:r>
          </m:num>
          <m:den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42</m:t>
            </m:r>
          </m:num>
          <m:den>
            <m:r>
              <m:t>30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42</m:t>
            </m:r>
          </m:num>
          <m:den>
            <m:r>
              <m:t>30</m:t>
            </m:r>
          </m:den>
        </m:f>
      </m:oMath>
      <w:r>
        <w:t xml:space="preserve"> </w:t>
      </w:r>
      <w:r>
        <w:t xml:space="preserve">es mayor que</w:t>
      </w:r>
      <w:r>
        <w:t xml:space="preserve"> </w:t>
      </w:r>
      <m:oMath>
        <m:f>
          <m:fPr>
            <m:type m:val="bar"/>
          </m:fPr>
          <m:num>
            <m:r>
              <m:t>40</m:t>
            </m:r>
          </m:num>
          <m:den>
            <m:r>
              <m:t>30</m:t>
            </m:r>
          </m:den>
        </m:f>
      </m:oMath>
      <w:r>
        <w:t xml:space="preserve">, así que 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es mayor que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.</w:t>
      </w:r>
    </w:p>
    <w:bookmarkEnd w:id="23"/>
    <w:bookmarkEnd w:id="24"/>
    <w:bookmarkStart w:id="29" w:name="usar-un-denominador-común...-o-no"/>
    <w:p>
      <w:pPr>
        <w:pStyle w:val="Heading3"/>
      </w:pPr>
      <w:r>
        <w:t xml:space="preserve">2 Usar un denominador común..., ¡o no!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Para cada pareja de fracciones, escribe una pareja de fracciones equivalentes que tengan denominador común.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17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3"/>
        </w:numPr>
      </w:pPr>
      <w:r>
        <w:t xml:space="preserve">Decide cuál fracción es mayor en cada pareja de fracciones. Prepárate para explicar tu razonamiento.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11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71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34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49</m:t>
            </m:r>
          </m:num>
          <m:den>
            <m:r>
              <m:t>100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2022-12-15T00:16:42Z</dcterms:created>
  <dcterms:modified xsi:type="dcterms:W3CDTF">2022-12-15T00:16:42Z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mrffL/u/4E98vrWjWfoK+Qr1F6Nhnvgpfq40BUWtd0W+s5p2lzcYErlaFr0IniaRMx1uJXUUpTL7JNF1MaJ0GA==</vt:lpwstr>
  </property>
</Properties>
</file>