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1.png" ContentType="image/png"/>
  <Override PartName="/word/media/rId22.png" ContentType="image/png"/>
  <Override PartName="/word/media/rId26.jpg" ContentType="image/jpe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cción-17-apliquemos-el-redondeo"/>
    <w:p>
      <w:pPr>
        <w:pStyle w:val="Heading2"/>
      </w:pPr>
      <w:r>
        <w:t xml:space="preserve">Lección 17: Apliquemos el redondeo</w:t>
      </w:r>
    </w:p>
    <w:bookmarkEnd w:id="20"/>
    <w:p>
      <w:pPr>
        <w:numPr>
          <w:ilvl w:val="0"/>
          <w:numId w:val="1001"/>
        </w:numPr>
        <w:pStyle w:val="Compact"/>
      </w:pPr>
      <w:r>
        <w:t xml:space="preserve">Redondeemos números grandes para entender situaciones y resolver problemas.</w:t>
      </w:r>
    </w:p>
    <w:bookmarkStart w:id="21" w:name="Xdad413c0c9036cd1b6b5485a3a26e0a3203c57a"/>
    <w:p>
      <w:pPr>
        <w:pStyle w:val="Heading3"/>
      </w:pPr>
      <w:r>
        <w:t xml:space="preserve">Calentamiento: Observa y pregúntate: Altitudes de aviones</w:t>
      </w:r>
    </w:p>
    <w:p>
      <w:pPr>
        <w:pStyle w:val="FirstParagraph"/>
      </w:pPr>
      <w:r>
        <w:t xml:space="preserve">¿Qué observas? ¿Qué te preguntas?</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center"/>
            </w:pPr>
            <w:r>
              <w:t xml:space="preserve">avión</w:t>
            </w:r>
          </w:p>
        </w:tc>
        <w:tc>
          <w:tcPr/>
          <w:p>
            <w:pPr>
              <w:pStyle w:val="Compact"/>
              <w:jc w:val="center"/>
            </w:pPr>
            <w:r>
              <w:t xml:space="preserve">altitud (pies)</w:t>
            </w:r>
          </w:p>
        </w:tc>
      </w:tr>
      <w:tr>
        <w:tc>
          <w:tcPr/>
          <w:p>
            <w:pPr>
              <w:pStyle w:val="Compact"/>
              <w:jc w:val="center"/>
            </w:pPr>
            <w:r>
              <w:t xml:space="preserve">WN11</w:t>
            </w:r>
          </w:p>
        </w:tc>
        <w:tc>
          <w:tcPr/>
          <w:p>
            <w:pPr>
              <w:pStyle w:val="Compact"/>
              <w:jc w:val="center"/>
            </w:pPr>
            <w:r>
              <w:t xml:space="preserve">35,625</w:t>
            </w:r>
          </w:p>
        </w:tc>
      </w:tr>
      <w:tr>
        <w:tc>
          <w:tcPr/>
          <w:p>
            <w:pPr>
              <w:pStyle w:val="Compact"/>
              <w:jc w:val="center"/>
            </w:pPr>
            <w:r>
              <w:t xml:space="preserve">SK51</w:t>
            </w:r>
          </w:p>
        </w:tc>
        <w:tc>
          <w:tcPr/>
          <w:p>
            <w:pPr>
              <w:pStyle w:val="Compact"/>
              <w:jc w:val="center"/>
            </w:pPr>
            <w:r>
              <w:t xml:space="preserve">28,999</w:t>
            </w:r>
          </w:p>
        </w:tc>
      </w:tr>
      <w:tr>
        <w:tc>
          <w:tcPr/>
          <w:p>
            <w:pPr>
              <w:pStyle w:val="Compact"/>
              <w:jc w:val="center"/>
            </w:pPr>
            <w:r>
              <w:t xml:space="preserve">VT35</w:t>
            </w:r>
          </w:p>
        </w:tc>
        <w:tc>
          <w:tcPr/>
          <w:p>
            <w:pPr>
              <w:pStyle w:val="Compact"/>
              <w:jc w:val="center"/>
            </w:pPr>
            <w:r>
              <w:t xml:space="preserve">15,450</w:t>
            </w:r>
          </w:p>
        </w:tc>
      </w:tr>
      <w:tr>
        <w:tc>
          <w:tcPr/>
          <w:p>
            <w:pPr>
              <w:pStyle w:val="Compact"/>
              <w:jc w:val="center"/>
            </w:pPr>
            <w:r>
              <w:t xml:space="preserve">BQ64</w:t>
            </w:r>
          </w:p>
        </w:tc>
        <w:tc>
          <w:tcPr/>
          <w:p>
            <w:pPr>
              <w:pStyle w:val="Compact"/>
              <w:jc w:val="center"/>
            </w:pPr>
            <w:r>
              <w:t xml:space="preserve">36,000</w:t>
            </w:r>
          </w:p>
        </w:tc>
      </w:tr>
      <w:tr>
        <w:tc>
          <w:tcPr/>
          <w:p>
            <w:pPr>
              <w:pStyle w:val="Compact"/>
              <w:jc w:val="center"/>
            </w:pPr>
            <w:r>
              <w:t xml:space="preserve">AL16</w:t>
            </w:r>
          </w:p>
        </w:tc>
        <w:tc>
          <w:tcPr/>
          <w:p>
            <w:pPr>
              <w:pStyle w:val="Compact"/>
              <w:jc w:val="center"/>
            </w:pPr>
            <w:r>
              <w:t xml:space="preserve">31,000</w:t>
            </w:r>
          </w:p>
        </w:tc>
      </w:tr>
      <w:tr>
        <w:tc>
          <w:tcPr/>
          <w:p>
            <w:pPr>
              <w:pStyle w:val="Compact"/>
              <w:jc w:val="center"/>
            </w:pPr>
            <w:r>
              <w:t xml:space="preserve">AB25</w:t>
            </w:r>
          </w:p>
        </w:tc>
        <w:tc>
          <w:tcPr/>
          <w:p>
            <w:pPr>
              <w:pStyle w:val="Compact"/>
              <w:jc w:val="center"/>
            </w:pPr>
            <w:r>
              <w:t xml:space="preserve">35,175</w:t>
            </w:r>
          </w:p>
        </w:tc>
      </w:tr>
      <w:tr>
        <w:tc>
          <w:tcPr/>
          <w:p>
            <w:pPr>
              <w:pStyle w:val="Compact"/>
              <w:jc w:val="center"/>
            </w:pPr>
            <w:r>
              <w:t xml:space="preserve">CL48</w:t>
            </w:r>
          </w:p>
        </w:tc>
        <w:tc>
          <w:tcPr/>
          <w:p>
            <w:pPr>
              <w:pStyle w:val="Compact"/>
              <w:jc w:val="center"/>
            </w:pPr>
            <w:r>
              <w:t xml:space="preserve">16,600</w:t>
            </w:r>
          </w:p>
        </w:tc>
      </w:tr>
      <w:tr>
        <w:tc>
          <w:tcPr/>
          <w:p>
            <w:pPr>
              <w:pStyle w:val="Compact"/>
              <w:jc w:val="center"/>
            </w:pPr>
            <w:r>
              <w:t xml:space="preserve">WN90</w:t>
            </w:r>
          </w:p>
        </w:tc>
        <w:tc>
          <w:tcPr/>
          <w:p>
            <w:pPr>
              <w:pStyle w:val="Compact"/>
              <w:jc w:val="center"/>
            </w:pPr>
            <w:r>
              <w:t xml:space="preserve">30,775</w:t>
            </w:r>
          </w:p>
        </w:tc>
      </w:tr>
      <w:tr>
        <w:tc>
          <w:tcPr/>
          <w:p>
            <w:pPr>
              <w:pStyle w:val="Compact"/>
              <w:jc w:val="center"/>
            </w:pPr>
            <w:r>
              <w:t xml:space="preserve">NM44</w:t>
            </w:r>
          </w:p>
        </w:tc>
        <w:tc>
          <w:tcPr/>
          <w:p>
            <w:pPr>
              <w:pStyle w:val="Compact"/>
              <w:jc w:val="center"/>
            </w:pPr>
            <w:r>
              <w:t xml:space="preserve">30,245</w:t>
            </w:r>
          </w:p>
        </w:tc>
      </w:tr>
    </w:tbl>
    <w:bookmarkEnd w:id="21"/>
    <w:bookmarkStart w:id="25" w:name="separados-en-el-aire"/>
    <w:p>
      <w:pPr>
        <w:pStyle w:val="Heading3"/>
      </w:pPr>
      <w:r>
        <w:t xml:space="preserve">17.1: Separados en el aire</w:t>
      </w:r>
    </w:p>
    <w:p>
      <w:pPr>
        <w:numPr>
          <w:ilvl w:val="0"/>
          <w:numId w:val="1002"/>
        </w:numPr>
      </w:pPr>
      <w:r>
        <w:t xml:space="preserve">La altitud de un avión es la distancia vertical desde el nivel del mar hasta el avión. Estas son las altitudes de diez aviones.</w:t>
      </w:r>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0"/>
                <w:numId w:val="1000"/>
              </w:numPr>
              <w:pStyle w:val="Compact"/>
              <w:jc w:val="center"/>
            </w:pPr>
            <w:r>
              <w:t xml:space="preserve">avión</w:t>
            </w:r>
          </w:p>
        </w:tc>
        <w:tc>
          <w:tcPr/>
          <w:p>
            <w:pPr>
              <w:numPr>
                <w:ilvl w:val="0"/>
                <w:numId w:val="1000"/>
              </w:numPr>
              <w:pStyle w:val="Compact"/>
              <w:jc w:val="center"/>
            </w:pPr>
            <w:r>
              <w:t xml:space="preserve">altitud (pies)</w:t>
            </w:r>
          </w:p>
        </w:tc>
        <w:tc>
          <w:tcPr/>
          <w:p>
            <w:pPr>
              <w:pStyle w:val="Compact"/>
            </w:pPr>
          </w:p>
        </w:tc>
      </w:tr>
      <w:tr>
        <w:tc>
          <w:tcPr/>
          <w:p>
            <w:pPr>
              <w:numPr>
                <w:ilvl w:val="0"/>
                <w:numId w:val="1000"/>
              </w:numPr>
              <w:pStyle w:val="Compact"/>
              <w:jc w:val="center"/>
            </w:pPr>
            <w:r>
              <w:t xml:space="preserve">WN11</w:t>
            </w:r>
          </w:p>
        </w:tc>
        <w:tc>
          <w:tcPr/>
          <w:p>
            <w:pPr>
              <w:numPr>
                <w:ilvl w:val="0"/>
                <w:numId w:val="1000"/>
              </w:numPr>
              <w:pStyle w:val="Compact"/>
              <w:jc w:val="center"/>
            </w:pPr>
            <w:r>
              <w:t xml:space="preserve">35,625</w:t>
            </w:r>
          </w:p>
        </w:tc>
        <w:tc>
          <w:tcPr/>
          <w:p>
            <w:pPr>
              <w:pStyle w:val="Compact"/>
            </w:pPr>
          </w:p>
        </w:tc>
      </w:tr>
      <w:tr>
        <w:tc>
          <w:tcPr/>
          <w:p>
            <w:pPr>
              <w:numPr>
                <w:ilvl w:val="0"/>
                <w:numId w:val="1000"/>
              </w:numPr>
              <w:pStyle w:val="Compact"/>
              <w:jc w:val="center"/>
            </w:pPr>
            <w:r>
              <w:t xml:space="preserve">SK51</w:t>
            </w:r>
          </w:p>
        </w:tc>
        <w:tc>
          <w:tcPr/>
          <w:p>
            <w:pPr>
              <w:numPr>
                <w:ilvl w:val="0"/>
                <w:numId w:val="1000"/>
              </w:numPr>
              <w:pStyle w:val="Compact"/>
              <w:jc w:val="center"/>
            </w:pPr>
            <w:r>
              <w:t xml:space="preserve">28,999</w:t>
            </w:r>
          </w:p>
        </w:tc>
        <w:tc>
          <w:tcPr/>
          <w:p>
            <w:pPr>
              <w:pStyle w:val="Compact"/>
            </w:pPr>
          </w:p>
        </w:tc>
      </w:tr>
      <w:tr>
        <w:tc>
          <w:tcPr/>
          <w:p>
            <w:pPr>
              <w:numPr>
                <w:ilvl w:val="0"/>
                <w:numId w:val="1000"/>
              </w:numPr>
              <w:pStyle w:val="Compact"/>
              <w:jc w:val="center"/>
            </w:pPr>
            <w:r>
              <w:t xml:space="preserve">VT35</w:t>
            </w:r>
          </w:p>
        </w:tc>
        <w:tc>
          <w:tcPr/>
          <w:p>
            <w:pPr>
              <w:numPr>
                <w:ilvl w:val="0"/>
                <w:numId w:val="1000"/>
              </w:numPr>
              <w:pStyle w:val="Compact"/>
              <w:jc w:val="center"/>
            </w:pPr>
            <w:r>
              <w:t xml:space="preserve">15,450</w:t>
            </w:r>
          </w:p>
        </w:tc>
        <w:tc>
          <w:tcPr/>
          <w:p>
            <w:pPr>
              <w:pStyle w:val="Compact"/>
            </w:pPr>
          </w:p>
        </w:tc>
      </w:tr>
      <w:tr>
        <w:tc>
          <w:tcPr/>
          <w:p>
            <w:pPr>
              <w:numPr>
                <w:ilvl w:val="0"/>
                <w:numId w:val="1000"/>
              </w:numPr>
              <w:pStyle w:val="Compact"/>
              <w:jc w:val="center"/>
            </w:pPr>
            <w:r>
              <w:t xml:space="preserve">BQ64</w:t>
            </w:r>
          </w:p>
        </w:tc>
        <w:tc>
          <w:tcPr/>
          <w:p>
            <w:pPr>
              <w:numPr>
                <w:ilvl w:val="0"/>
                <w:numId w:val="1000"/>
              </w:numPr>
              <w:pStyle w:val="Compact"/>
              <w:jc w:val="center"/>
            </w:pPr>
            <w:r>
              <w:t xml:space="preserve">36,000</w:t>
            </w:r>
          </w:p>
        </w:tc>
        <w:tc>
          <w:tcPr/>
          <w:p>
            <w:pPr>
              <w:pStyle w:val="Compact"/>
            </w:pPr>
          </w:p>
        </w:tc>
      </w:tr>
      <w:tr>
        <w:tc>
          <w:tcPr/>
          <w:p>
            <w:pPr>
              <w:numPr>
                <w:ilvl w:val="0"/>
                <w:numId w:val="1000"/>
              </w:numPr>
              <w:pStyle w:val="Compact"/>
              <w:jc w:val="center"/>
            </w:pPr>
            <w:r>
              <w:t xml:space="preserve">AL16</w:t>
            </w:r>
          </w:p>
        </w:tc>
        <w:tc>
          <w:tcPr/>
          <w:p>
            <w:pPr>
              <w:numPr>
                <w:ilvl w:val="0"/>
                <w:numId w:val="1000"/>
              </w:numPr>
              <w:pStyle w:val="Compact"/>
              <w:jc w:val="center"/>
            </w:pPr>
            <w:r>
              <w:t xml:space="preserve">31,000</w:t>
            </w:r>
          </w:p>
        </w:tc>
        <w:tc>
          <w:tcPr/>
          <w:p>
            <w:pPr>
              <w:pStyle w:val="Compact"/>
            </w:pPr>
          </w:p>
        </w:tc>
      </w:tr>
      <w:tr>
        <w:tc>
          <w:tcPr/>
          <w:p>
            <w:pPr>
              <w:numPr>
                <w:ilvl w:val="0"/>
                <w:numId w:val="1000"/>
              </w:numPr>
              <w:pStyle w:val="Compact"/>
              <w:jc w:val="center"/>
            </w:pPr>
            <w:r>
              <w:t xml:space="preserve">AB25</w:t>
            </w:r>
          </w:p>
        </w:tc>
        <w:tc>
          <w:tcPr/>
          <w:p>
            <w:pPr>
              <w:numPr>
                <w:ilvl w:val="0"/>
                <w:numId w:val="1000"/>
              </w:numPr>
              <w:pStyle w:val="Compact"/>
              <w:jc w:val="center"/>
            </w:pPr>
            <w:r>
              <w:t xml:space="preserve">35,175</w:t>
            </w:r>
          </w:p>
        </w:tc>
        <w:tc>
          <w:tcPr/>
          <w:p>
            <w:pPr>
              <w:pStyle w:val="Compact"/>
            </w:pPr>
          </w:p>
        </w:tc>
      </w:tr>
      <w:tr>
        <w:tc>
          <w:tcPr/>
          <w:p>
            <w:pPr>
              <w:numPr>
                <w:ilvl w:val="0"/>
                <w:numId w:val="1000"/>
              </w:numPr>
              <w:pStyle w:val="Compact"/>
              <w:jc w:val="center"/>
            </w:pPr>
            <w:r>
              <w:t xml:space="preserve">CL48</w:t>
            </w:r>
          </w:p>
        </w:tc>
        <w:tc>
          <w:tcPr/>
          <w:p>
            <w:pPr>
              <w:numPr>
                <w:ilvl w:val="0"/>
                <w:numId w:val="1000"/>
              </w:numPr>
              <w:pStyle w:val="Compact"/>
              <w:jc w:val="center"/>
            </w:pPr>
            <w:r>
              <w:t xml:space="preserve">16,600</w:t>
            </w:r>
          </w:p>
        </w:tc>
        <w:tc>
          <w:tcPr/>
          <w:p>
            <w:pPr>
              <w:pStyle w:val="Compact"/>
            </w:pPr>
          </w:p>
        </w:tc>
      </w:tr>
      <w:tr>
        <w:tc>
          <w:tcPr/>
          <w:p>
            <w:pPr>
              <w:numPr>
                <w:ilvl w:val="0"/>
                <w:numId w:val="1000"/>
              </w:numPr>
              <w:pStyle w:val="Compact"/>
              <w:jc w:val="center"/>
            </w:pPr>
            <w:r>
              <w:t xml:space="preserve">WN90</w:t>
            </w:r>
          </w:p>
        </w:tc>
        <w:tc>
          <w:tcPr/>
          <w:p>
            <w:pPr>
              <w:numPr>
                <w:ilvl w:val="0"/>
                <w:numId w:val="1000"/>
              </w:numPr>
              <w:pStyle w:val="Compact"/>
              <w:jc w:val="center"/>
            </w:pPr>
            <w:r>
              <w:t xml:space="preserve">30,775</w:t>
            </w:r>
          </w:p>
        </w:tc>
        <w:tc>
          <w:tcPr/>
          <w:p>
            <w:pPr>
              <w:pStyle w:val="Compact"/>
            </w:pPr>
          </w:p>
        </w:tc>
      </w:tr>
      <w:tr>
        <w:tc>
          <w:tcPr/>
          <w:p>
            <w:pPr>
              <w:numPr>
                <w:ilvl w:val="0"/>
                <w:numId w:val="1000"/>
              </w:numPr>
              <w:pStyle w:val="Compact"/>
              <w:jc w:val="center"/>
            </w:pPr>
            <w:r>
              <w:t xml:space="preserve">NM44</w:t>
            </w:r>
          </w:p>
        </w:tc>
        <w:tc>
          <w:tcPr/>
          <w:p>
            <w:pPr>
              <w:numPr>
                <w:ilvl w:val="0"/>
                <w:numId w:val="1000"/>
              </w:numPr>
              <w:pStyle w:val="Compact"/>
              <w:jc w:val="center"/>
            </w:pPr>
            <w:r>
              <w:t xml:space="preserve">30,245</w:t>
            </w:r>
          </w:p>
        </w:tc>
        <w:tc>
          <w:tcPr/>
          <w:p>
            <w:pPr>
              <w:pStyle w:val="Compact"/>
            </w:pPr>
          </w:p>
        </w:tc>
      </w:tr>
    </w:tbl>
    <w:p>
      <w:pPr>
        <w:numPr>
          <w:ilvl w:val="0"/>
          <w:numId w:val="1000"/>
        </w:numPr>
        <w:pStyle w:val="Compact"/>
      </w:pPr>
      <w:r>
        <w:drawing>
          <wp:inline>
            <wp:extent cx="5943600" cy="3880071"/>
            <wp:effectExtent b="0" l="0" r="0" t="0"/>
            <wp:docPr descr="Photograph, airplane in sky." title="" id="23" name="Picture"/>
            <a:graphic>
              <a:graphicData uri="http://schemas.openxmlformats.org/drawingml/2006/picture">
                <pic:pic>
                  <pic:nvPicPr>
                    <pic:cNvPr descr="/app/tmp/embedder-1671063721.8780634.png" id="24" name="Picture"/>
                    <pic:cNvPicPr>
                      <a:picLocks noChangeArrowheads="1" noChangeAspect="1"/>
                    </pic:cNvPicPr>
                  </pic:nvPicPr>
                  <pic:blipFill>
                    <a:blip r:embed="rId22"/>
                    <a:stretch>
                      <a:fillRect/>
                    </a:stretch>
                  </pic:blipFill>
                  <pic:spPr bwMode="auto">
                    <a:xfrm>
                      <a:off x="0" y="0"/>
                      <a:ext cx="5943600" cy="3880071"/>
                    </a:xfrm>
                    <a:prstGeom prst="rect">
                      <a:avLst/>
                    </a:prstGeom>
                    <a:noFill/>
                    <a:ln w="9525">
                      <a:noFill/>
                      <a:headEnd/>
                      <a:tailEnd/>
                    </a:ln>
                  </pic:spPr>
                </pic:pic>
              </a:graphicData>
            </a:graphic>
          </wp:inline>
        </w:drawing>
      </w:r>
    </w:p>
    <w:p>
      <w:pPr>
        <w:numPr>
          <w:ilvl w:val="0"/>
          <w:numId w:val="1000"/>
        </w:numPr>
      </w:pPr>
      <w:r>
        <w:t xml:space="preserve"> </w:t>
      </w:r>
    </w:p>
    <w:p>
      <w:pPr>
        <w:numPr>
          <w:ilvl w:val="0"/>
          <w:numId w:val="1000"/>
        </w:numPr>
      </w:pPr>
      <w:r>
        <w:t xml:space="preserve">¿Cuáles aviones están volando a aproximadamente 30,000 pies? Explica o muestra cómo razonaste.</w:t>
      </w:r>
    </w:p>
    <w:p>
      <w:pPr>
        <w:numPr>
          <w:ilvl w:val="0"/>
          <w:numId w:val="1002"/>
        </w:numPr>
      </w:pPr>
      <w:r>
        <w:t xml:space="preserve">Los aviones que vuelan sobre la misma región deben estar separados verticalmente por al menos 1,000 pies.</w:t>
      </w:r>
    </w:p>
    <w:p>
      <w:pPr>
        <w:numPr>
          <w:ilvl w:val="0"/>
          <w:numId w:val="1000"/>
        </w:numPr>
      </w:pPr>
      <w:r>
        <w:t xml:space="preserve">Mai dijo que una forma de saber si los aviones están demasiado cerca es redondear la altitud de cada avión al múltiplo de mil más cercano. ¿Estás de acuerdo en que esta es una estrategia segura?</w:t>
      </w:r>
    </w:p>
    <w:p>
      <w:pPr>
        <w:numPr>
          <w:ilvl w:val="0"/>
          <w:numId w:val="1000"/>
        </w:numPr>
      </w:pPr>
      <w:r>
        <w:t xml:space="preserve">En la última columna, redondea cada altitud al múltiplo de mil más cercano. Usa los valores redondeados para explicar por qué estuviste o no de acuerdo con Mai.</w:t>
      </w:r>
    </w:p>
    <w:bookmarkEnd w:id="25"/>
    <w:bookmarkStart w:id="29" w:name="seguro-o-inseguro"/>
    <w:p>
      <w:pPr>
        <w:pStyle w:val="Heading3"/>
      </w:pPr>
      <w:r>
        <w:t xml:space="preserve">17.2: ¿Seguro o inseguro?</w:t>
      </w:r>
    </w:p>
    <w:p>
      <w:pPr>
        <w:pStyle w:val="FirstParagraph"/>
      </w:pPr>
      <w:r>
        <w:t xml:space="preserve">Usa los datos de las altitudes de la actividad anterior en los siguientes problemas.</w:t>
      </w:r>
    </w:p>
    <w:p>
      <w:pPr>
        <w:numPr>
          <w:ilvl w:val="0"/>
          <w:numId w:val="1003"/>
        </w:numPr>
      </w:pPr>
      <w:r>
        <w:t xml:space="preserve">Mira la columna que muestra las altitudes exactas.</w:t>
      </w:r>
    </w:p>
    <w:p>
      <w:pPr>
        <w:numPr>
          <w:ilvl w:val="1"/>
          <w:numId w:val="1004"/>
        </w:numPr>
        <w:pStyle w:val="Compact"/>
      </w:pPr>
      <w:r>
        <w:t xml:space="preserve">Encuentra dos o más números que estén a menos de 1,000 pies uno del otro. Márcalos con un círculo o con un color.</w:t>
      </w:r>
    </w:p>
    <w:p>
      <w:pPr>
        <w:numPr>
          <w:ilvl w:val="1"/>
          <w:numId w:val="1004"/>
        </w:numPr>
        <w:pStyle w:val="Compact"/>
      </w:pPr>
      <w:r>
        <w:t xml:space="preserve">Encuentra otros números que estén a menos de 1,000 pies uno del otro. Márcalos con un cuadrado o con otro color.</w:t>
      </w:r>
    </w:p>
    <w:p>
      <w:pPr>
        <w:numPr>
          <w:ilvl w:val="1"/>
          <w:numId w:val="1004"/>
        </w:numPr>
        <w:pStyle w:val="Compact"/>
      </w:pPr>
      <w:r>
        <w:t xml:space="preserve">Con base en lo que acabas de hacer, ¿cuáles aviones están demasiado cerca uno del otro?</w:t>
      </w:r>
    </w:p>
    <w:p>
      <w:pPr>
        <w:numPr>
          <w:ilvl w:val="0"/>
          <w:numId w:val="1000"/>
        </w:numPr>
        <w:pStyle w:val="Compact"/>
      </w:pPr>
      <w:r>
        <w:drawing>
          <wp:inline>
            <wp:extent cx="5943600" cy="8915400"/>
            <wp:effectExtent b="0" l="0" r="0" t="0"/>
            <wp:docPr descr="photograph of air traffic control tower and airplane taking off" title="" id="27" name="Picture"/>
            <a:graphic>
              <a:graphicData uri="http://schemas.openxmlformats.org/drawingml/2006/picture">
                <pic:pic>
                  <pic:nvPicPr>
                    <pic:cNvPr descr="/app/tmp/embedder-1671063722.1011782.jpg" id="28" name="Picture"/>
                    <pic:cNvPicPr>
                      <a:picLocks noChangeArrowheads="1" noChangeAspect="1"/>
                    </pic:cNvPicPr>
                  </pic:nvPicPr>
                  <pic:blipFill>
                    <a:blip r:embed="rId26"/>
                    <a:stretch>
                      <a:fillRect/>
                    </a:stretch>
                  </pic:blipFill>
                  <pic:spPr bwMode="auto">
                    <a:xfrm>
                      <a:off x="0" y="0"/>
                      <a:ext cx="5943600" cy="8915400"/>
                    </a:xfrm>
                    <a:prstGeom prst="rect">
                      <a:avLst/>
                    </a:prstGeom>
                    <a:noFill/>
                    <a:ln w="9525">
                      <a:noFill/>
                      <a:headEnd/>
                      <a:tailEnd/>
                    </a:ln>
                  </pic:spPr>
                </pic:pic>
              </a:graphicData>
            </a:graphic>
          </wp:inline>
        </w:drawing>
      </w:r>
    </w:p>
    <w:p>
      <w:pPr>
        <w:numPr>
          <w:ilvl w:val="0"/>
          <w:numId w:val="1003"/>
        </w:numPr>
      </w:pPr>
      <w:r>
        <w:t xml:space="preserve">Repite lo que acabas de hacer, ahora con los números que están redondeados en la última columna. Viendo esta columna, ¿cuáles aviones están demasiado cerca uno del otro?</w:t>
      </w:r>
    </w:p>
    <w:p>
      <w:pPr>
        <w:numPr>
          <w:ilvl w:val="0"/>
          <w:numId w:val="1003"/>
        </w:numPr>
        <w:pStyle w:val="Compact"/>
      </w:pPr>
      <w:r>
        <w:t xml:space="preserve">¿Cuál grupo de datos de altitudes deberían usar los controladores aéreos para mantener seguros a los aviones cuando están volando? Explica cómo razonaste.</w:t>
      </w:r>
    </w:p>
    <w:p>
      <w:pPr>
        <w:numPr>
          <w:ilvl w:val="0"/>
          <w:numId w:val="1003"/>
        </w:numPr>
        <w:pStyle w:val="Compact"/>
      </w:pPr>
      <w:r>
        <w:t xml:space="preserve">¿Hay mejores formas de redondear estas altitudes, o no deberíamos redondearlas? Explica o muestra cómo razonaste.</w:t>
      </w:r>
    </w:p>
    <w:bookmarkEnd w:id="29"/>
    <w:bookmarkStart w:id="30" w:name="una-zona-sin-teléfono-celular"/>
    <w:p>
      <w:pPr>
        <w:pStyle w:val="Heading3"/>
      </w:pPr>
      <w:r>
        <w:t xml:space="preserve">17.3: ¿Una zona sin teléfono celular?</w:t>
      </w:r>
    </w:p>
    <w:p>
      <w:pPr>
        <w:pStyle w:val="FirstParagraph"/>
      </w:pPr>
      <w:r>
        <w:t xml:space="preserve">En algunos países se permite usar teléfonos celulares en un vuelo únicamente cuando el avión está a cierta altitud, usualmente alrededor de 40,000 pies.</w:t>
      </w:r>
    </w:p>
    <w:p>
      <w:pPr>
        <w:pStyle w:val="BodyText"/>
      </w:pPr>
      <w:r>
        <w:t xml:space="preserve">Estos son seis aviones y sus altitudes.</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center"/>
            </w:pPr>
            <w:r>
              <w:t xml:space="preserve">avión</w:t>
            </w:r>
          </w:p>
        </w:tc>
        <w:tc>
          <w:tcPr/>
          <w:p>
            <w:pPr>
              <w:pStyle w:val="Compact"/>
              <w:jc w:val="center"/>
            </w:pPr>
            <w:r>
              <w:t xml:space="preserve">altitud (pies)</w:t>
            </w:r>
          </w:p>
        </w:tc>
      </w:tr>
      <w:tr>
        <w:tc>
          <w:tcPr/>
          <w:p>
            <w:pPr>
              <w:pStyle w:val="Compact"/>
              <w:jc w:val="center"/>
            </w:pPr>
            <w:r>
              <w:t xml:space="preserve">A</w:t>
            </w:r>
          </w:p>
        </w:tc>
        <w:tc>
          <w:tcPr/>
          <w:p>
            <w:pPr>
              <w:pStyle w:val="Compact"/>
              <w:jc w:val="center"/>
            </w:pPr>
            <w:r>
              <w:t xml:space="preserve">40,990</w:t>
            </w:r>
          </w:p>
        </w:tc>
      </w:tr>
      <w:tr>
        <w:tc>
          <w:tcPr/>
          <w:p>
            <w:pPr>
              <w:pStyle w:val="Compact"/>
              <w:jc w:val="center"/>
            </w:pPr>
            <w:r>
              <w:t xml:space="preserve">B</w:t>
            </w:r>
          </w:p>
        </w:tc>
        <w:tc>
          <w:tcPr/>
          <w:p>
            <w:pPr>
              <w:pStyle w:val="Compact"/>
              <w:jc w:val="center"/>
            </w:pPr>
            <w:r>
              <w:t xml:space="preserve">39,524</w:t>
            </w:r>
          </w:p>
        </w:tc>
      </w:tr>
      <w:tr>
        <w:tc>
          <w:tcPr/>
          <w:p>
            <w:pPr>
              <w:pStyle w:val="Compact"/>
              <w:jc w:val="center"/>
            </w:pPr>
            <w:r>
              <w:t xml:space="preserve">C</w:t>
            </w:r>
          </w:p>
        </w:tc>
        <w:tc>
          <w:tcPr/>
          <w:p>
            <w:pPr>
              <w:pStyle w:val="Compact"/>
              <w:jc w:val="center"/>
            </w:pPr>
            <w:r>
              <w:t xml:space="preserve">36,138</w:t>
            </w:r>
          </w:p>
        </w:tc>
      </w:tr>
      <w:tr>
        <w:tc>
          <w:tcPr/>
          <w:p>
            <w:pPr>
              <w:pStyle w:val="Compact"/>
              <w:jc w:val="center"/>
            </w:pPr>
            <w:r>
              <w:t xml:space="preserve">D</w:t>
            </w:r>
          </w:p>
        </w:tc>
        <w:tc>
          <w:tcPr/>
          <w:p>
            <w:pPr>
              <w:pStyle w:val="Compact"/>
              <w:jc w:val="center"/>
            </w:pPr>
            <w:r>
              <w:t xml:space="preserve">40,201</w:t>
            </w:r>
          </w:p>
        </w:tc>
      </w:tr>
      <w:tr>
        <w:tc>
          <w:tcPr/>
          <w:p>
            <w:pPr>
              <w:pStyle w:val="Compact"/>
              <w:jc w:val="center"/>
            </w:pPr>
            <w:r>
              <w:t xml:space="preserve">E</w:t>
            </w:r>
          </w:p>
        </w:tc>
        <w:tc>
          <w:tcPr/>
          <w:p>
            <w:pPr>
              <w:pStyle w:val="Compact"/>
              <w:jc w:val="center"/>
            </w:pPr>
            <w:r>
              <w:t xml:space="preserve">35,472</w:t>
            </w:r>
          </w:p>
        </w:tc>
      </w:tr>
      <w:tr>
        <w:tc>
          <w:tcPr/>
          <w:p>
            <w:pPr>
              <w:pStyle w:val="Compact"/>
              <w:jc w:val="center"/>
            </w:pPr>
            <w:r>
              <w:t xml:space="preserve">F</w:t>
            </w:r>
          </w:p>
        </w:tc>
        <w:tc>
          <w:tcPr/>
          <w:p>
            <w:pPr>
              <w:pStyle w:val="Compact"/>
              <w:jc w:val="center"/>
            </w:pPr>
            <w:r>
              <w:t xml:space="preserve">30,956</w:t>
            </w:r>
          </w:p>
        </w:tc>
      </w:tr>
    </w:tbl>
    <w:p>
      <w:pPr>
        <w:pStyle w:val="BodyText"/>
      </w:pPr>
      <w:r>
        <w:t xml:space="preserve">Jada dice que los pasajeros de todos los aviones pueden usar sus teléfonos, excepto los del avión F.</w:t>
      </w:r>
    </w:p>
    <w:p>
      <w:pPr>
        <w:pStyle w:val="BodyText"/>
      </w:pPr>
      <w:r>
        <w:t xml:space="preserve">Elena dice que solo los pasajeros del avión B y del avión D pueden usar sus teléfonos.</w:t>
      </w:r>
    </w:p>
    <w:p>
      <w:pPr>
        <w:pStyle w:val="BodyText"/>
      </w:pPr>
      <w:r>
        <w:t xml:space="preserve">¿Estás de acuerdo con alguna de ellas? Explica cómo razonaste.</w:t>
      </w:r>
    </w:p>
    <w:bookmarkEnd w:id="30"/>
    <w:bookmarkStart w:id="34" w:name="section-summary"/>
    <w:p>
      <w:pPr>
        <w:pStyle w:val="Heading3"/>
      </w:pPr>
      <w:r>
        <w:t xml:space="preserve">Section Summary</w:t>
      </w:r>
    </w:p>
    <w:p>
      <w:pPr>
        <w:pStyle w:val="FirstParagraph"/>
      </w:pPr>
      <w:r>
        <w:t xml:space="preserve">Section Summary</w:t>
      </w:r>
    </w:p>
    <w:p>
      <w:pPr>
        <w:pStyle w:val="BodyText"/>
      </w:pPr>
      <w:r>
        <w:t xml:space="preserve">En esta sección, aprendimos a comparar, a ordenar y a redondear números hasta 1,000,000.</w:t>
      </w:r>
    </w:p>
    <w:p>
      <w:pPr>
        <w:pStyle w:val="BodyText"/>
      </w:pPr>
      <w:r>
        <w:t xml:space="preserve">Empezamos usando lo que ya sabemos sobre el valor posicional para comparar números enteros grandes. Por ejemplo, sabemos que 45,892 es menor que 407,892 porque el 4 del 45,892 representa cuarenta mil y el 4 del 407,892 representa cuatrocientos mil.</w:t>
      </w:r>
    </w:p>
    <w:p>
      <w:pPr>
        <w:pStyle w:val="BodyText"/>
      </w:pPr>
      <w:r>
        <w:t xml:space="preserve">Después, encontramos los múltiplos de 1,000, de 10,000 y de 100,000 más cercanos a ciertos números (primero con la ayuda de rectas numéricas y luego sin ella). Por ejemplo, sabemos que para 407,892:</w:t>
      </w:r>
    </w:p>
    <w:p>
      <w:pPr>
        <w:numPr>
          <w:ilvl w:val="0"/>
          <w:numId w:val="1005"/>
        </w:numPr>
        <w:pStyle w:val="Compact"/>
      </w:pPr>
      <w:r>
        <w:t xml:space="preserve">408,000 es el múltiplo de 1,000 más cercano</w:t>
      </w:r>
    </w:p>
    <w:p>
      <w:pPr>
        <w:numPr>
          <w:ilvl w:val="0"/>
          <w:numId w:val="1005"/>
        </w:numPr>
        <w:pStyle w:val="Compact"/>
      </w:pPr>
      <w:r>
        <w:t xml:space="preserve">410,000 es el múltiplo de 10,000 más cercano</w:t>
      </w:r>
    </w:p>
    <w:p>
      <w:pPr>
        <w:numPr>
          <w:ilvl w:val="0"/>
          <w:numId w:val="1005"/>
        </w:numPr>
        <w:pStyle w:val="Compact"/>
      </w:pPr>
      <w:r>
        <w:t xml:space="preserve">400,000 es el múltiplo de 100,000 más cercano</w:t>
      </w:r>
    </w:p>
    <w:p>
      <w:pPr>
        <w:pStyle w:val="FirstParagraph"/>
      </w:pPr>
      <w:r>
        <w:t xml:space="preserve">Finalmente, usamos lo que ya sabemos sobre encontrar los múltiplos más cercanos para redondear números grandes a los múltiplos de mil, de diez mil y de cien mil más cercanos.</w:t>
      </w:r>
    </w:p>
    <w:p>
      <w:pPr>
        <w:pStyle w:val="BodyText"/>
      </w:pPr>
      <w:r>
        <w:drawing>
          <wp:inline>
            <wp:extent cx="762000" cy="266700"/>
            <wp:effectExtent b="0" l="0" r="0" t="0"/>
            <wp:docPr descr="" title="" id="32" name="Picture"/>
            <a:graphic>
              <a:graphicData uri="http://schemas.openxmlformats.org/drawingml/2006/picture">
                <pic:pic>
                  <pic:nvPicPr>
                    <pic:cNvPr descr="/app/app/assets/images/export/ccby_logo_small.png" id="33" name="Picture"/>
                    <pic:cNvPicPr>
                      <a:picLocks noChangeArrowheads="1" noChangeAspect="1"/>
                    </pic:cNvPicPr>
                  </pic:nvPicPr>
                  <pic:blipFill>
                    <a:blip r:embed="rId3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3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1" Target="media/rId31.png" /><Relationship Type="http://schemas.openxmlformats.org/officeDocument/2006/relationships/image" Id="rId22" Target="media/rId22.png" /><Relationship Type="http://schemas.openxmlformats.org/officeDocument/2006/relationships/image" Id="rId26" Target="media/rId26.jp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2022-12-15T00:22:02Z</dcterms:created>
  <dcterms:modified xsi:type="dcterms:W3CDTF">2022-12-15T00:22:02Z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dFQSD+/SMMCt9sE5HTgjFURpkh1tqw6WyNMvgf1ZewtQUFdWg1rInWgSYidMXA99fYHrm3khU41NWcrxiVZ4Vg==</vt:lpwstr>
  </property>
</Properties>
</file>