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7" w:name="Xac53670e90e7ca85c9ee60eb1031a4f9dbd55f3"/>
    <w:p>
      <w:pPr>
        <w:pStyle w:val="Heading1"/>
      </w:pPr>
      <w:r>
        <w:t xml:space="preserve">Lesson 15: Different Types of Story Problems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Building 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1.OA.A.1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1.OA.A.1, 1.OA.B.4, 1.OA.C.6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Solve a variety of types of story problems.</w:t>
      </w:r>
    </w:p>
    <w:p>
      <w:pPr>
        <w:numPr>
          <w:ilvl w:val="0"/>
          <w:numId w:val="1001"/>
        </w:numPr>
        <w:pStyle w:val="Compact"/>
      </w:pPr>
      <w:r>
        <w:t xml:space="preserve">Write addition and subtraction equations to represent story problems.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solve story problems and write equations to match.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solve a variety of story problems and write equations that match each problem.</w:t>
      </w:r>
    </w:p>
    <w:p>
      <w:pPr>
        <w:pStyle w:val="BodyText"/>
      </w:pPr>
      <w:r>
        <w:t xml:space="preserve">The work of this lesson connects to previous lessons in which students solved Put Together/Take Apart story problems with unknowns in different positions and Compare, Difference Unknown story problems in a way that makes sense to them. They considered addition and subtraction equations that match the same story problem. In this lesson, students solve a variety of story problem types and write equations to match them. Students are encouraged, but not required, to write more than one equation for each story problem.</w:t>
      </w:r>
    </w:p>
    <w:p>
      <w:pPr>
        <w:pStyle w:val="BodyText"/>
      </w:pPr>
      <w:r>
        <w:t xml:space="preserve">This lesson has a Student Section Summary.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Which One Doesn’t Belong?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Connecting cubes or two-color counters: Activity 2</w:t>
      </w:r>
    </w:p>
    <w:p>
      <w:pPr>
        <w:numPr>
          <w:ilvl w:val="0"/>
          <w:numId w:val="1005"/>
        </w:numPr>
        <w:pStyle w:val="Compact"/>
      </w:pPr>
      <w:r>
        <w:t xml:space="preserve">Materials from previous centers: Activity 3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part of the lesson went really well today in terms of students learning? What did you do that made that part go well? 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0</w:t>
      </w:r>
      <w:r>
        <w:t xml:space="preserve">min</w:t>
      </w:r>
    </w:p>
    <w:p>
      <w:pPr>
        <w:pStyle w:val="BodyText"/>
      </w:pPr>
      <w:r>
        <w:t xml:space="preserve">Unit 2, Section C Checkpoint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Building 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1.OA.A.1</w:t>
            </w:r>
          </w:p>
        </w:tc>
      </w:tr>
    </w:tbl>
    <w:bookmarkEnd w:id="44"/>
    <w:bookmarkStart w:id="45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Lesson observations</w:t>
      </w:r>
    </w:p>
    <w:bookmarkEnd w:id="45"/>
    <w:bookmarkStart w:id="46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6"/>
        </w:numPr>
        <w:pStyle w:val="Compact"/>
      </w:pPr>
      <w:r>
        <w:t xml:space="preserve">Retell the story.</w:t>
      </w:r>
    </w:p>
    <w:p>
      <w:pPr>
        <w:numPr>
          <w:ilvl w:val="0"/>
          <w:numId w:val="1006"/>
        </w:numPr>
        <w:pStyle w:val="Compact"/>
      </w:pPr>
      <w:r>
        <w:t xml:space="preserve">Represent the story with objects or drawings.</w:t>
      </w:r>
    </w:p>
    <w:p>
      <w:pPr>
        <w:numPr>
          <w:ilvl w:val="0"/>
          <w:numId w:val="1006"/>
        </w:numPr>
        <w:pStyle w:val="Compact"/>
      </w:pPr>
      <w:r>
        <w:t xml:space="preserve">Represent the story with equations.</w:t>
      </w:r>
    </w:p>
    <w:p>
      <w:pPr>
        <w:numPr>
          <w:ilvl w:val="0"/>
          <w:numId w:val="1006"/>
        </w:numPr>
        <w:pStyle w:val="Compact"/>
      </w:pPr>
      <w:r>
        <w:t xml:space="preserve">Explain how their representation matches the story.</w:t>
      </w:r>
    </w:p>
    <w:p>
      <w:pPr>
        <w:numPr>
          <w:ilvl w:val="0"/>
          <w:numId w:val="1006"/>
        </w:numPr>
        <w:pStyle w:val="Compact"/>
      </w:pPr>
      <w:r>
        <w:t xml:space="preserve">Answer the question correctly.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2022-12-14T11:06:31Z</dcterms:created>
  <dcterms:modified xsi:type="dcterms:W3CDTF">2022-12-14T11:06:31Z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19XrtyIRzXwuieFAhii8QH2BaRlRzxzAk2hJkQoAyZjz0a7uTpk1IettQl7XTJAoRGkQn0VFQdsW4qzhfg/KxQ==</vt:lpwstr>
  </property>
</Properties>
</file>