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The data set represents the number of errors on a typing 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8</w:t>
            </w:r>
          </w:p>
        </w:tc>
        <w:tc>
          <w:tcPr/>
          <w:p>
            <w:pPr>
              <w:numPr>
                <w:ilvl w:val="0"/>
                <w:numId w:val="1000"/>
              </w:numPr>
              <w:pStyle w:val="Compact"/>
              <w:jc w:val="left"/>
            </w:pPr>
            <w:r>
              <w:t xml:space="preserve">8</w:t>
            </w:r>
          </w:p>
        </w:tc>
        <w:tc>
          <w:tcPr/>
          <w:p>
            <w:pPr>
              <w:numPr>
                <w:ilvl w:val="0"/>
                <w:numId w:val="1000"/>
              </w:numPr>
              <w:pStyle w:val="Compact"/>
              <w:jc w:val="left"/>
            </w:pPr>
            <w:r>
              <w:t xml:space="preserve">9</w:t>
            </w:r>
          </w:p>
        </w:tc>
        <w:tc>
          <w:tcPr/>
          <w:p>
            <w:pPr>
              <w:numPr>
                <w:ilvl w:val="0"/>
                <w:numId w:val="1000"/>
              </w:numPr>
              <w:pStyle w:val="Compact"/>
              <w:jc w:val="left"/>
            </w:pPr>
            <w:r>
              <w:t xml:space="preserve">9</w:t>
            </w:r>
          </w:p>
        </w:tc>
        <w:tc>
          <w:tcPr/>
          <w:p>
            <w:pPr>
              <w:numPr>
                <w:ilvl w:val="0"/>
                <w:numId w:val="1000"/>
              </w:numPr>
              <w:pStyle w:val="Compact"/>
              <w:jc w:val="left"/>
            </w:pPr>
            <w:r>
              <w:t xml:space="preserve">10</w:t>
            </w:r>
          </w:p>
        </w:tc>
        <w:tc>
          <w:tcPr/>
          <w:p>
            <w:pPr>
              <w:numPr>
                <w:ilvl w:val="0"/>
                <w:numId w:val="1000"/>
              </w:numPr>
              <w:pStyle w:val="Compact"/>
              <w:jc w:val="left"/>
            </w:pPr>
            <w:r>
              <w:t xml:space="preserve">10</w:t>
            </w:r>
          </w:p>
        </w:tc>
      </w:tr>
      <w:tr>
        <w:tc>
          <w:tcPr/>
          <w:p>
            <w:pPr>
              <w:numPr>
                <w:ilvl w:val="0"/>
                <w:numId w:val="1000"/>
              </w:numPr>
              <w:pStyle w:val="Compact"/>
              <w:jc w:val="left"/>
            </w:pPr>
            <w:r>
              <w:t xml:space="preserve">10</w:t>
            </w:r>
          </w:p>
        </w:tc>
        <w:tc>
          <w:tcPr/>
          <w:p>
            <w:pPr>
              <w:numPr>
                <w:ilvl w:val="0"/>
                <w:numId w:val="1000"/>
              </w:numPr>
              <w:pStyle w:val="Compact"/>
              <w:jc w:val="left"/>
            </w:pPr>
            <w:r>
              <w:t xml:space="preserve">12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2"/>
        </w:numPr>
        <w:pStyle w:val="Compact"/>
      </w:pPr>
      <w:r>
        <w:t xml:space="preserve">What is the median? Interpret this value in the situation.</w:t>
      </w:r>
    </w:p>
    <w:p>
      <w:pPr>
        <w:numPr>
          <w:ilvl w:val="1"/>
          <w:numId w:val="1002"/>
        </w:numPr>
        <w:pStyle w:val="Compact"/>
      </w:pPr>
      <w:r>
        <w:t xml:space="preserve">What is the IQR?</w:t>
      </w:r>
    </w:p>
    <w:p>
      <w:pPr>
        <w:numPr>
          <w:ilvl w:val="0"/>
          <w:numId w:val="1001"/>
        </w:numPr>
      </w:pPr>
      <w:r>
        <w:t xml:space="preserve">The data set represents the heights, in centimeters, of ten model bridges made for an engineering competition.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13</w:t>
            </w:r>
          </w:p>
        </w:tc>
        <w:tc>
          <w:tcPr/>
          <w:p>
            <w:pPr>
              <w:numPr>
                <w:ilvl w:val="0"/>
                <w:numId w:val="1000"/>
              </w:numPr>
              <w:pStyle w:val="Compact"/>
              <w:jc w:val="left"/>
            </w:pPr>
            <w:r>
              <w:t xml:space="preserve">14</w:t>
            </w:r>
          </w:p>
        </w:tc>
        <w:tc>
          <w:tcPr/>
          <w:p>
            <w:pPr>
              <w:numPr>
                <w:ilvl w:val="0"/>
                <w:numId w:val="1000"/>
              </w:numPr>
              <w:pStyle w:val="Compact"/>
              <w:jc w:val="left"/>
            </w:pPr>
            <w:r>
              <w:t xml:space="preserve">14</w:t>
            </w:r>
          </w:p>
        </w:tc>
        <w:tc>
          <w:tcPr/>
          <w:p>
            <w:pPr>
              <w:numPr>
                <w:ilvl w:val="0"/>
                <w:numId w:val="1000"/>
              </w:numPr>
              <w:pStyle w:val="Compact"/>
              <w:jc w:val="left"/>
            </w:pPr>
            <w:r>
              <w:t xml:space="preserve">16</w:t>
            </w:r>
          </w:p>
        </w:tc>
        <w:tc>
          <w:tcPr/>
          <w:p>
            <w:pPr>
              <w:numPr>
                <w:ilvl w:val="0"/>
                <w:numId w:val="1000"/>
              </w:numPr>
              <w:pStyle w:val="Compact"/>
              <w:jc w:val="left"/>
            </w:pPr>
            <w:r>
              <w:t xml:space="preserve">16</w:t>
            </w:r>
          </w:p>
        </w:tc>
        <w:tc>
          <w:tcPr/>
          <w:p>
            <w:pPr>
              <w:numPr>
                <w:ilvl w:val="0"/>
                <w:numId w:val="1000"/>
              </w:numPr>
              <w:pStyle w:val="Compact"/>
              <w:jc w:val="left"/>
            </w:pPr>
            <w:r>
              <w:t xml:space="preserve">16</w:t>
            </w:r>
          </w:p>
        </w:tc>
        <w:tc>
          <w:tcPr/>
          <w:p>
            <w:pPr>
              <w:numPr>
                <w:ilvl w:val="0"/>
                <w:numId w:val="1000"/>
              </w:numPr>
              <w:pStyle w:val="Compact"/>
              <w:jc w:val="left"/>
            </w:pPr>
            <w:r>
              <w:t xml:space="preserve">16</w:t>
            </w:r>
          </w:p>
        </w:tc>
        <w:tc>
          <w:tcPr/>
          <w:p>
            <w:pPr>
              <w:numPr>
                <w:ilvl w:val="0"/>
                <w:numId w:val="1000"/>
              </w:numPr>
              <w:pStyle w:val="Compact"/>
              <w:jc w:val="left"/>
            </w:pPr>
            <w:r>
              <w:t xml:space="preserve">18</w:t>
            </w:r>
          </w:p>
        </w:tc>
      </w:tr>
      <w:tr>
        <w:tc>
          <w:tcPr/>
          <w:p>
            <w:pPr>
              <w:numPr>
                <w:ilvl w:val="0"/>
                <w:numId w:val="1000"/>
              </w:numPr>
              <w:pStyle w:val="Compact"/>
              <w:jc w:val="left"/>
            </w:pPr>
            <w:r>
              <w:t xml:space="preserve">18</w:t>
            </w:r>
          </w:p>
        </w:tc>
        <w:tc>
          <w:tcPr/>
          <w:p>
            <w:pPr>
              <w:numPr>
                <w:ilvl w:val="0"/>
                <w:numId w:val="1000"/>
              </w:numPr>
              <w:pStyle w:val="Compact"/>
              <w:jc w:val="left"/>
            </w:pPr>
            <w:r>
              <w:t xml:space="preserve">19</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3"/>
        </w:numPr>
        <w:pStyle w:val="Compact"/>
      </w:pPr>
      <w:r>
        <w:t xml:space="preserve">What is the mean?</w:t>
      </w:r>
    </w:p>
    <w:p>
      <w:pPr>
        <w:numPr>
          <w:ilvl w:val="1"/>
          <w:numId w:val="1003"/>
        </w:numPr>
        <w:pStyle w:val="Compact"/>
      </w:pPr>
      <w:r>
        <w:t xml:space="preserve">What is the MAD?</w:t>
      </w:r>
    </w:p>
    <w:p>
      <w:pPr>
        <w:numPr>
          <w:ilvl w:val="0"/>
          <w:numId w:val="1001"/>
        </w:numPr>
      </w:pPr>
      <w:r>
        <w:t xml:space="preserve">Describe the shape of the distribution shown in the dot plot. The dot plot displays the golf scores from a golf tournament.</w:t>
      </w:r>
    </w:p>
    <w:p>
      <w:pPr>
        <w:numPr>
          <w:ilvl w:val="0"/>
          <w:numId w:val="1000"/>
        </w:numPr>
        <w:pStyle w:val="Compact"/>
      </w:pPr>
      <w:r>
        <w:drawing>
          <wp:inline>
            <wp:extent cx="3900970" cy="986518"/>
            <wp:effectExtent b="0" l="0" r="0" t="0"/>
            <wp:docPr descr="Dot plot from 132 to 140 by 1’s. golf score (strokes). Beginning at 132, number of dots above each increment is 0, 2, 3, 6, 3, 2, 2, 6, 1, 1." title="" id="22" name="Picture"/>
            <a:graphic>
              <a:graphicData uri="http://schemas.openxmlformats.org/drawingml/2006/picture">
                <pic:pic>
                  <pic:nvPicPr>
                    <pic:cNvPr descr="/app/tmp/embedder-1670992973.4387307.png" id="23" name="Picture"/>
                    <pic:cNvPicPr>
                      <a:picLocks noChangeArrowheads="1" noChangeAspect="1"/>
                    </pic:cNvPicPr>
                  </pic:nvPicPr>
                  <pic:blipFill>
                    <a:blip r:embed="rId21"/>
                    <a:stretch>
                      <a:fillRect/>
                    </a:stretch>
                  </pic:blipFill>
                  <pic:spPr bwMode="auto">
                    <a:xfrm>
                      <a:off x="0" y="0"/>
                      <a:ext cx="3900970" cy="986518"/>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1, Lesson 4.)</w:t>
      </w:r>
    </w:p>
    <w:p>
      <w:pPr>
        <w:numPr>
          <w:ilvl w:val="0"/>
          <w:numId w:val="1001"/>
        </w:numPr>
      </w:pPr>
      <w:r>
        <w:t xml:space="preserve">The dot plot shows the weight, in grams, of several different rocks. Select</w:t>
      </w:r>
      <w:r>
        <w:t xml:space="preserve"> </w:t>
      </w:r>
      <w:r>
        <w:rPr>
          <w:bCs/>
          <w:b/>
        </w:rPr>
        <w:t xml:space="preserve">all</w:t>
      </w:r>
      <w:r>
        <w:t xml:space="preserve"> </w:t>
      </w:r>
      <w:r>
        <w:t xml:space="preserve">the terms that describe the shape of the distribution.</w:t>
      </w:r>
    </w:p>
    <w:p>
      <w:pPr>
        <w:numPr>
          <w:ilvl w:val="0"/>
          <w:numId w:val="1000"/>
        </w:numPr>
        <w:pStyle w:val="Compact"/>
      </w:pPr>
      <w:r>
        <w:drawing>
          <wp:inline>
            <wp:extent cx="3900982" cy="986518"/>
            <wp:effectExtent b="0" l="0" r="0" t="0"/>
            <wp:docPr descr="Dot plot from 0.24 to 0.34 by .01’s. weight (grams). Beginning at 0.24, number of dots above each increment is 0, 2, 4, 6, 4, 2, 4, 6, 4, 2, 0." title="" id="25" name="Picture"/>
            <a:graphic>
              <a:graphicData uri="http://schemas.openxmlformats.org/drawingml/2006/picture">
                <pic:pic>
                  <pic:nvPicPr>
                    <pic:cNvPr descr="/app/tmp/embedder-1670992973.522021.png" id="26" name="Picture"/>
                    <pic:cNvPicPr>
                      <a:picLocks noChangeArrowheads="1" noChangeAspect="1"/>
                    </pic:cNvPicPr>
                  </pic:nvPicPr>
                  <pic:blipFill>
                    <a:blip r:embed="rId24"/>
                    <a:stretch>
                      <a:fillRect/>
                    </a:stretch>
                  </pic:blipFill>
                  <pic:spPr bwMode="auto">
                    <a:xfrm>
                      <a:off x="0" y="0"/>
                      <a:ext cx="3900982" cy="986518"/>
                    </a:xfrm>
                    <a:prstGeom prst="rect">
                      <a:avLst/>
                    </a:prstGeom>
                    <a:noFill/>
                    <a:ln w="9525">
                      <a:noFill/>
                      <a:headEnd/>
                      <a:tailEnd/>
                    </a:ln>
                  </pic:spPr>
                </pic:pic>
              </a:graphicData>
            </a:graphic>
          </wp:inline>
        </w:drawing>
      </w:r>
    </w:p>
    <w:p>
      <w:pPr>
        <w:numPr>
          <w:ilvl w:val="1"/>
          <w:numId w:val="1004"/>
        </w:numPr>
      </w:pPr>
      <w:r>
        <w:t xml:space="preserve">bell-shaped</w:t>
      </w:r>
    </w:p>
    <w:p>
      <w:pPr>
        <w:numPr>
          <w:ilvl w:val="1"/>
          <w:numId w:val="1004"/>
        </w:numPr>
      </w:pPr>
      <w:r>
        <w:t xml:space="preserve">bimodal</w:t>
      </w:r>
    </w:p>
    <w:p>
      <w:pPr>
        <w:numPr>
          <w:ilvl w:val="1"/>
          <w:numId w:val="1004"/>
        </w:numPr>
      </w:pPr>
      <w:r>
        <w:t xml:space="preserve">skewed</w:t>
      </w:r>
    </w:p>
    <w:p>
      <w:pPr>
        <w:numPr>
          <w:ilvl w:val="1"/>
          <w:numId w:val="1004"/>
        </w:numPr>
      </w:pPr>
      <w:r>
        <w:t xml:space="preserve">symmetric</w:t>
      </w:r>
    </w:p>
    <w:p>
      <w:pPr>
        <w:numPr>
          <w:ilvl w:val="1"/>
          <w:numId w:val="1004"/>
        </w:numPr>
      </w:pPr>
      <w:r>
        <w:t xml:space="preserve">uniform</w:t>
      </w:r>
    </w:p>
    <w:p>
      <w:pPr>
        <w:numPr>
          <w:ilvl w:val="0"/>
          <w:numId w:val="1000"/>
        </w:numPr>
      </w:pPr>
      <w:r>
        <w:t xml:space="preserve">(From Unit 1, Lesson 4.)</w:t>
      </w:r>
    </w:p>
    <w:p>
      <w:pPr>
        <w:numPr>
          <w:ilvl w:val="0"/>
          <w:numId w:val="1001"/>
        </w:numPr>
      </w:pPr>
      <w:r>
        <w:t xml:space="preserve">The dot plot represents the distribution of wages earned during a one-week period by 12 college students.</w:t>
      </w:r>
    </w:p>
    <w:p>
      <w:pPr>
        <w:numPr>
          <w:ilvl w:val="0"/>
          <w:numId w:val="1000"/>
        </w:numPr>
        <w:pStyle w:val="Compact"/>
      </w:pPr>
      <w:r>
        <w:drawing>
          <wp:inline>
            <wp:extent cx="3900982" cy="699578"/>
            <wp:effectExtent b="0" l="0" r="0" t="0"/>
            <wp:docPr descr="Dot plot from 112 to 124 by 1’s. Weekly wages in dollars. Beginning at 112, number of dots above each increment is 1, 1, 0, 0, 3, 0, 2, 2, 0, 0, 0, 0, 3.  " title="" id="28" name="Picture"/>
            <a:graphic>
              <a:graphicData uri="http://schemas.openxmlformats.org/drawingml/2006/picture">
                <pic:pic>
                  <pic:nvPicPr>
                    <pic:cNvPr descr="/app/tmp/embedder-1670992973.6040664.png" id="29" name="Picture"/>
                    <pic:cNvPicPr>
                      <a:picLocks noChangeArrowheads="1" noChangeAspect="1"/>
                    </pic:cNvPicPr>
                  </pic:nvPicPr>
                  <pic:blipFill>
                    <a:blip r:embed="rId27"/>
                    <a:stretch>
                      <a:fillRect/>
                    </a:stretch>
                  </pic:blipFill>
                  <pic:spPr bwMode="auto">
                    <a:xfrm>
                      <a:off x="0" y="0"/>
                      <a:ext cx="3900982" cy="699578"/>
                    </a:xfrm>
                    <a:prstGeom prst="rect">
                      <a:avLst/>
                    </a:prstGeom>
                    <a:noFill/>
                    <a:ln w="9525">
                      <a:noFill/>
                      <a:headEnd/>
                      <a:tailEnd/>
                    </a:ln>
                  </pic:spPr>
                </pic:pic>
              </a:graphicData>
            </a:graphic>
          </wp:inline>
        </w:drawing>
      </w:r>
    </w:p>
    <w:p>
      <w:pPr>
        <w:numPr>
          <w:ilvl w:val="1"/>
          <w:numId w:val="1005"/>
        </w:numPr>
        <w:pStyle w:val="Compact"/>
      </w:pPr>
      <w:r>
        <w:t xml:space="preserve">What is the mean? Interpret this value based on the situation.</w:t>
      </w:r>
    </w:p>
    <w:p>
      <w:pPr>
        <w:numPr>
          <w:ilvl w:val="1"/>
          <w:numId w:val="1005"/>
        </w:numPr>
        <w:pStyle w:val="Compact"/>
      </w:pPr>
      <w:r>
        <w:t xml:space="preserve">What is the median? Interpret this value based on the situation.</w:t>
      </w:r>
    </w:p>
    <w:p>
      <w:pPr>
        <w:numPr>
          <w:ilvl w:val="1"/>
          <w:numId w:val="1005"/>
        </w:numPr>
        <w:pStyle w:val="Compact"/>
      </w:pPr>
      <w:r>
        <w:t xml:space="preserve">Would a box plot of the same data have allowed you to find both the mean and the median?</w:t>
      </w:r>
    </w:p>
    <w:p>
      <w:pPr>
        <w:numPr>
          <w:ilvl w:val="0"/>
          <w:numId w:val="1000"/>
        </w:numPr>
      </w:pPr>
      <w:r>
        <w:t xml:space="preserve">(From Unit 1, Lesson 3.)</w:t>
      </w:r>
    </w:p>
    <w:p>
      <w:pPr>
        <w:numPr>
          <w:ilvl w:val="0"/>
          <w:numId w:val="1001"/>
        </w:numPr>
      </w:pPr>
      <w:r>
        <w:t xml:space="preserve">The box plot displays the temperature of saunas in degrees Fahrenheit. What is the median?</w:t>
      </w:r>
    </w:p>
    <w:p>
      <w:pPr>
        <w:numPr>
          <w:ilvl w:val="0"/>
          <w:numId w:val="1000"/>
        </w:numPr>
        <w:pStyle w:val="Compact"/>
      </w:pPr>
      <w:r>
        <w:drawing>
          <wp:inline>
            <wp:extent cx="2704452" cy="903175"/>
            <wp:effectExtent b="0" l="0" r="0" t="0"/>
            <wp:docPr descr="Box plot from 110 to 126 by 2’s labeled &quot;degrees, Fahrenheit&quot;. Whisker from 111 to 115. Box from 115 to 124 with vertical line at 118. Whisker from 124 to 126. " title="" id="31" name="Picture"/>
            <a:graphic>
              <a:graphicData uri="http://schemas.openxmlformats.org/drawingml/2006/picture">
                <pic:pic>
                  <pic:nvPicPr>
                    <pic:cNvPr descr="/app/tmp/embedder-1670992973.6751792.png" id="32" name="Picture"/>
                    <pic:cNvPicPr>
                      <a:picLocks noChangeArrowheads="1" noChangeAspect="1"/>
                    </pic:cNvPicPr>
                  </pic:nvPicPr>
                  <pic:blipFill>
                    <a:blip r:embed="rId30"/>
                    <a:stretch>
                      <a:fillRect/>
                    </a:stretch>
                  </pic:blipFill>
                  <pic:spPr bwMode="auto">
                    <a:xfrm>
                      <a:off x="0" y="0"/>
                      <a:ext cx="2704452" cy="903175"/>
                    </a:xfrm>
                    <a:prstGeom prst="rect">
                      <a:avLst/>
                    </a:prstGeom>
                    <a:noFill/>
                    <a:ln w="9525">
                      <a:noFill/>
                      <a:headEnd/>
                      <a:tailEnd/>
                    </a:ln>
                  </pic:spPr>
                </pic:pic>
              </a:graphicData>
            </a:graphic>
          </wp:inline>
        </w:drawing>
      </w:r>
    </w:p>
    <w:p>
      <w:pPr>
        <w:numPr>
          <w:ilvl w:val="0"/>
          <w:numId w:val="1000"/>
        </w:numPr>
      </w:pPr>
      <w:r>
        <w:t xml:space="preserve">(From Unit 1, Lesson 2.)</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2022-12-14T04:42:54Z</dcterms:created>
  <dcterms:modified xsi:type="dcterms:W3CDTF">2022-12-14T04:42:54Z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C17CalEK9+Q6dvKn+P+prSoEWBAZuna4g0d2hFwzwjAvWoczPYIPuf+SUbmpm4XFE+whlg0wK6MGzZP0KDzBbQ==</vt:lpwstr>
  </property>
</Properties>
</file>