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18d39c8345fff69b9a3c110c9a4c5d5beaa7a"/>
    <w:p>
      <w:pPr>
        <w:pStyle w:val="Heading2"/>
      </w:pPr>
      <w:r>
        <w:t xml:space="preserve">Unit 2 Lesson 5: Relate Division and Fractions</w:t>
      </w:r>
    </w:p>
    <w:bookmarkEnd w:id="20"/>
    <w:bookmarkStart w:id="22" w:name="X58462a0f4a4f14b900ee5de8baf79cf6179eba6"/>
    <w:p>
      <w:pPr>
        <w:pStyle w:val="Heading3"/>
      </w:pPr>
      <w:r>
        <w:t xml:space="preserve">WU True or False: Interpret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bookmarkEnd w:id="21"/>
    <w:bookmarkEnd w:id="22"/>
    <w:bookmarkStart w:id="36" w:name="relate-pounds-to-people"/>
    <w:p>
      <w:pPr>
        <w:pStyle w:val="Heading3"/>
      </w:pPr>
      <w:r>
        <w:t xml:space="preserve">1 Relate Pounds to People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>
            <w:vMerge w:val="restart"/>
          </w:tcPr>
          <w:p>
            <w:pPr>
              <w:pStyle w:val="Compact"/>
            </w:pP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Each person gets ________ pound(s) of blueberries.</w:t>
            </w:r>
          </w:p>
        </w:tc>
      </w:tr>
      <w:tr>
        <w:trPr>
          <w:tblHeader w:val="true"/>
        </w:trP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center"/>
            </w:pPr>
            <w:r>
              <w:t xml:space="preserve">more than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exactly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less than 1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jc w:val="left"/>
            </w:pPr>
            <w:r>
              <w:t xml:space="preserve">__________ people share 7 pounds of blueberries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12.584529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12.60400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Three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12.622079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__________ people share __________ pounds of blueberries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12.6420255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Fill in the blanks to match the rules in the table.</w:t>
      </w:r>
    </w:p>
    <w:p>
      <w:pPr>
        <w:numPr>
          <w:ilvl w:val="0"/>
          <w:numId w:val="1002"/>
        </w:numPr>
        <w:pStyle w:val="Compact"/>
      </w:pPr>
      <w:r>
        <w:t xml:space="preserve">How many pounds of blueberries did each person get when they got more than 1 pound of blueberries?</w:t>
      </w:r>
    </w:p>
    <w:p>
      <w:pPr>
        <w:numPr>
          <w:ilvl w:val="0"/>
          <w:numId w:val="1002"/>
        </w:numPr>
        <w:pStyle w:val="Compact"/>
      </w:pPr>
      <w:r>
        <w:t xml:space="preserve">How many pounds of blueberries did each person get when they got less than 1 pound of blueberries?</w:t>
      </w:r>
    </w:p>
    <w:p>
      <w:pPr>
        <w:pStyle w:val="FirstParagraph"/>
      </w:pPr>
      <w:r>
        <w:t xml:space="preserve">(Pause for teacher directions.)</w:t>
      </w:r>
    </w:p>
    <w:p>
      <w:pPr>
        <w:numPr>
          <w:ilvl w:val="0"/>
          <w:numId w:val="1003"/>
        </w:numPr>
        <w:pStyle w:val="Compact"/>
      </w:pPr>
      <w:r>
        <w:t xml:space="preserve">Work with your group to make a poster that shows or explains your thinking about the questions below.</w:t>
      </w:r>
    </w:p>
    <w:p>
      <w:pPr>
        <w:numPr>
          <w:ilvl w:val="1"/>
          <w:numId w:val="1004"/>
        </w:numPr>
        <w:pStyle w:val="Compact"/>
      </w:pPr>
      <w:r>
        <w:t xml:space="preserve">What is true about all of the pairs of numbers that were used when each person got less than 1 pound of blueberries?</w:t>
      </w:r>
    </w:p>
    <w:p>
      <w:pPr>
        <w:numPr>
          <w:ilvl w:val="1"/>
          <w:numId w:val="1004"/>
        </w:numPr>
        <w:pStyle w:val="Compact"/>
      </w:pPr>
      <w:r>
        <w:t xml:space="preserve">What is true about all of the pairs of numbers that were used when each person got more than 1 pound of blueberries?</w:t>
      </w:r>
    </w:p>
    <w:p>
      <w:pPr>
        <w:numPr>
          <w:ilvl w:val="1"/>
          <w:numId w:val="1004"/>
        </w:numPr>
        <w:pStyle w:val="Compact"/>
      </w:pPr>
      <w:r>
        <w:t xml:space="preserve">What is true about all of the pairs of numbers that were used when each person gets exactly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blueberries?</w:t>
      </w:r>
    </w:p>
    <w:bookmarkEnd w:id="35"/>
    <w:bookmarkEnd w:id="36"/>
    <w:bookmarkStart w:id="41" w:name="why-does-it-work"/>
    <w:p>
      <w:pPr>
        <w:pStyle w:val="Heading3"/>
      </w:pPr>
      <w:r>
        <w:t xml:space="preserve">2 Why Does It Work?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What numbers can replace the question marks in each equation? Explain your reasoning.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÷</m:t>
              </m:r>
              <m:r>
                <m:t>2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?</m:t>
                  </m:r>
                </m:num>
                <m:den>
                  <m:r>
                    <m:t>2</m:t>
                  </m:r>
                </m:den>
              </m:f>
            </m:e>
            <m:e>
              <m:phant>
                <m:phantPr>
                  <m:show m:val="0"/>
                </m:phantPr>
                <m:e>
                  <m:r>
                    <m:t>88888</m:t>
                  </m:r>
                </m:e>
              </m:phant>
            </m:e>
            <m:e>
              <m:r>
                <m:t>2</m:t>
              </m:r>
              <m:r>
                <m:rPr>
                  <m:sty m:val="p"/>
                </m:rPr>
                <m:t>÷</m:t>
              </m:r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rPr>
                      <m:sty m:val="p"/>
                    </m:rPr>
                    <m:t>?</m:t>
                  </m:r>
                </m:den>
              </m:f>
            </m:e>
          </m:mr>
        </m:m>
      </m:oMath>
      <w:r>
        <w:t xml:space="preserve"> </w:t>
      </w:r>
      <w:r>
        <w:t xml:space="preserve">(Pause for teacher directions.)</w:t>
      </w:r>
    </w:p>
    <w:p>
      <w:pPr>
        <w:numPr>
          <w:ilvl w:val="0"/>
          <w:numId w:val="1005"/>
        </w:numPr>
        <w:pStyle w:val="Compact"/>
      </w:pPr>
      <w:r>
        <w:t xml:space="preserve">Work with your partner to explain why any division expression can be interpreted as a fraction. You can use diagrams, expressions, equations, and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2022-12-14T14:18:33Z</dcterms:created>
  <dcterms:modified xsi:type="dcterms:W3CDTF">2022-12-14T14:18:33Z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EfR66D5V/X7Xp+H8VLBn8SFGXFWHGMYSHeMcCKJoXEo18D+xUt0FIxJDQuIF1EuZGK4l05OSmwmYafl41mdfFw==</vt:lpwstr>
  </property>
</Properties>
</file>