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6</w:t>
      </w:r>
    </w:p>
    <w:bookmarkStart w:id="24" w:name="lesson-466924"/>
    <w:p>
      <w:pPr>
        <w:pStyle w:val="Heading1"/>
      </w:pPr>
      <w:r>
        <w:t xml:space="preserve">Percentages and Equations</w:t>
      </w:r>
    </w:p>
    <w:p>
      <w:pPr>
        <w:pStyle w:val="FirstParagraph"/>
      </w:pPr>
      <w:r>
        <w:t xml:space="preserve">Let's use equations to find percentages.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0" w:name="activity-466926"/>
    <w:p>
      <w:pPr>
        <w:pStyle w:val="Heading2"/>
      </w:pPr>
      <w:r>
        <w:t xml:space="preserve">6.1</w:t>
      </w:r>
      <w:r>
        <w:t xml:space="preserve">Math Talk: 60% and 6% of Something</w:t>
      </w:r>
    </w:p>
    <w:p>
      <w:pPr>
        <w:pStyle w:val="FirstParagraph"/>
      </w:pPr>
      <w:r>
        <w:t xml:space="preserve">Decide mentally if each statement is true or false.</w:t>
      </w:r>
    </w:p>
    <w:p>
      <w:pPr>
        <w:numPr>
          <w:ilvl w:val="0"/>
          <w:numId w:val="1001"/>
        </w:numPr>
        <w:pStyle w:val="Compact"/>
      </w:pPr>
      <w:r>
        <w:t xml:space="preserve">60% of 200 is 12.</w:t>
      </w:r>
    </w:p>
    <w:p>
      <w:pPr>
        <w:numPr>
          <w:ilvl w:val="0"/>
          <w:numId w:val="1001"/>
        </w:numPr>
        <w:pStyle w:val="Compact"/>
      </w:pPr>
      <w:r>
        <w:t xml:space="preserve">60% of 20 has the same value as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20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6% of 200 has the same value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0.06</m:t>
            </m:r>
          </m:e>
        </m:d>
        <m:r>
          <m:rPr>
            <m:sty m:val="p"/>
          </m:rPr>
          <m:t>⋅</m:t>
        </m:r>
        <m:r>
          <m:t>200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6%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120, then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20.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1" w:name="activity-590885"/>
    <w:p>
      <w:pPr>
        <w:pStyle w:val="Heading2"/>
      </w:pPr>
      <w:r>
        <w:t xml:space="preserve">6.2</w:t>
      </w:r>
      <w:r>
        <w:t xml:space="preserve">Writing Equations to Represent Percentage Problems</w:t>
      </w:r>
    </w:p>
    <w:p>
      <w:pPr>
        <w:pStyle w:val="FirstParagraph"/>
      </w:pPr>
      <w:r>
        <w:t xml:space="preserve">Write an equation to represent the relationship in each statement. Then solve the equation to answer the question. Show your reasoning.</w:t>
      </w:r>
    </w:p>
    <w:p>
      <w:pPr>
        <w:numPr>
          <w:ilvl w:val="0"/>
          <w:numId w:val="1002"/>
        </w:numPr>
        <w:pStyle w:val="Compact"/>
      </w:pPr>
      <w:r>
        <w:t xml:space="preserve">40%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58. What is that number?</w:t>
      </w:r>
    </w:p>
    <w:p>
      <w:pPr>
        <w:numPr>
          <w:ilvl w:val="0"/>
          <w:numId w:val="1002"/>
        </w:numPr>
        <w:pStyle w:val="Compact"/>
      </w:pPr>
      <w:r>
        <w:t xml:space="preserve">60%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43.2. What is the value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38%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190. What is the value of</w:t>
      </w:r>
      <w:r>
        <w:t xml:space="preserve"> </w:t>
      </w:r>
      <m:oMath>
        <m:r>
          <m:t>e</m:t>
        </m:r>
      </m:oMath>
      <w:r>
        <w:t xml:space="preserve">?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2" w:name="activity-466927"/>
    <w:p>
      <w:pPr>
        <w:pStyle w:val="Heading2"/>
      </w:pPr>
      <w:r>
        <w:t xml:space="preserve">6.3</w:t>
      </w:r>
      <w:r>
        <w:t xml:space="preserve">Info Gap: Staying Active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3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 “Can you tell me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 “I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 . . . .”</w:t>
      </w:r>
      <w:r>
        <w:br/>
      </w: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3"/>
        </w:numPr>
        <w:pStyle w:val="Compact"/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4"/>
        </w:numPr>
        <w:pStyle w:val="Compact"/>
      </w:pPr>
      <w:r>
        <w:t xml:space="preserve">Silently read your card. Wait for your partner to ask for information.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any information, ask, “Why do you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4"/>
        </w:numPr>
        <w:pStyle w:val="Compact"/>
      </w:pPr>
      <w:r>
        <w:t xml:space="preserve">Listen to your partner’s reasoning and ask clarifying questions. Only give information that is on your card. Do not figure out anything for your partner!</w:t>
      </w:r>
      <w:r>
        <w:br/>
      </w:r>
      <w:r>
        <w:t xml:space="preserve">These steps may be repeated.</w:t>
      </w:r>
    </w:p>
    <w:p>
      <w:pPr>
        <w:numPr>
          <w:ilvl w:val="0"/>
          <w:numId w:val="1004"/>
        </w:numPr>
        <w:pStyle w:val="Compact"/>
      </w:pPr>
      <w:r>
        <w:t xml:space="preserve">Once your partner says they have enough information to solve the problem, read the problem card, and solve the problem independently.</w:t>
      </w:r>
    </w:p>
    <w:p>
      <w:pPr>
        <w:numPr>
          <w:ilvl w:val="0"/>
          <w:numId w:val="1004"/>
        </w:numPr>
        <w:pStyle w:val="Compact"/>
      </w:pPr>
      <w:r>
        <w:t xml:space="preserve">Share the data card, and discuss your reasoning.</w:t>
      </w:r>
    </w:p>
    <w:bookmarkEnd w:id="22"/>
    <w:bookmarkStart w:id="23" w:name="lesson-466924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We can write equations to help us solve percentage problems. </w:t>
      </w:r>
    </w:p>
    <w:p>
      <w:pPr>
        <w:pStyle w:val="BodyText"/>
      </w:pPr>
      <w:r>
        <w:t xml:space="preserve">Example: There are 455 students in school today, which is 70% school attendance. How many students go to the school?</w:t>
      </w:r>
    </w:p>
    <w:p>
      <w:pPr>
        <w:pStyle w:val="BodyText"/>
      </w:pPr>
      <w:r>
        <w:t xml:space="preserve">The number of students in school today is known in two different ways: as 70% of the students in the school, and also as 455. 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total number of students who go to the school, then 70% of</w:t>
      </w:r>
      <w:r>
        <w:t xml:space="preserve"> </w:t>
      </w:r>
      <m:oMath>
        <m:r>
          <m:t>s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  <m:r>
          <m:t>s</m:t>
        </m:r>
      </m:oMath>
      <w:r>
        <w:t xml:space="preserve">, represents the number of students that are in school today, which is 455.</w:t>
      </w:r>
    </w:p>
    <w:p>
      <w:pPr>
        <w:pStyle w:val="BodyText"/>
      </w:pPr>
      <w:r>
        <w:t xml:space="preserve">We can write and solve the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70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There are 650 students in the school.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650</m:t>
        </m:r>
      </m:oMath>
    </w:p>
    <w:p>
      <w:pPr>
        <w:pStyle w:val="BodyText"/>
      </w:pPr>
      <w:r>
        <w:t xml:space="preserve">The equation can also be written using the decimal equivalent of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, which is 0.7: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0.7</m:t>
              </m:r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÷</m:t>
              </m:r>
              <m:r>
                <m:t>0.7</m:t>
              </m:r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650</m:t>
              </m:r>
            </m:e>
          </m:mr>
        </m:m>
      </m:oMath>
    </w:p>
    <w:p>
      <w:pPr>
        <w:pStyle w:val="BodyText"/>
      </w:pPr>
      <w:r>
        <w:t xml:space="preserve">We can check this answer by substituting 650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equation and seeing if the equation is true.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0.7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0.7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650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455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</m:m>
      </m:oMath>
    </w:p>
    <w:bookmarkEnd w:id="23"/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2024-11-19T12:07:54Z</dcterms:created>
  <dcterms:modified xsi:type="dcterms:W3CDTF">2024-11-19T12:07:54Z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