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7</w:t>
      </w:r>
      <w:r>
        <w:t xml:space="preserve">Lesson 5</w:t>
      </w:r>
      <w:r>
        <w:t xml:space="preserve">CC BY NC Illustrative Mathematics, based on IM 6–8 Math, CC BY Open Up Resources.</w:t>
      </w:r>
    </w:p>
    <w:p>
      <w:pPr>
        <w:pStyle w:val="BodyText"/>
      </w:pPr>
      <w:r>
        <w:t xml:space="preserve">Unit 7, Lesson 5</w:t>
      </w:r>
    </w:p>
    <w:bookmarkStart w:id="25" w:name="lesson-467382"/>
    <w:p>
      <w:pPr>
        <w:pStyle w:val="Heading1"/>
      </w:pPr>
      <w:r>
        <w:t xml:space="preserve">Using Negative Numbers to Make Sense of Contexts</w:t>
      </w:r>
    </w:p>
    <w:p>
      <w:pPr>
        <w:pStyle w:val="FirstParagraph"/>
      </w:pPr>
      <w:r>
        <w:t xml:space="preserve">Let’s make sense of negative amounts of money.</w:t>
      </w:r>
    </w:p>
    <w:p>
      <w:pPr>
        <w:pStyle w:val="BodyText"/>
      </w:pPr>
      <w:r>
        <w:t xml:space="preserve"> </w:t>
      </w:r>
      <w:r>
        <w:t xml:space="preserve">Grade 6</w:t>
      </w:r>
      <w:r>
        <w:br/>
      </w:r>
      <w:r>
        <w:t xml:space="preserve">Unit 7</w:t>
      </w:r>
      <w:r>
        <w:t xml:space="preserve">Lesson 5</w:t>
      </w:r>
      <w:r>
        <w:t xml:space="preserve">CC BY NC Illustrative Mathematics, based on IM 6–8 Math, CC BY Open Up Resources.</w:t>
      </w:r>
    </w:p>
    <w:bookmarkStart w:id="20" w:name="activity-467383"/>
    <w:p>
      <w:pPr>
        <w:pStyle w:val="Heading2"/>
      </w:pPr>
      <w:r>
        <w:t xml:space="preserve">5.1</w:t>
      </w:r>
      <w:r>
        <w:t xml:space="preserve">Notice and Wonder: It Comes and Goes</w:t>
      </w:r>
    </w:p>
    <w:p>
      <w:pPr>
        <w:pStyle w:val="FirstParagraph"/>
      </w:pPr>
      <w:r>
        <w:t xml:space="preserve">What do you notice? What do you wonder?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center"/>
            </w:pPr>
            <w:r>
              <w:t xml:space="preserve">item</w:t>
            </w:r>
          </w:p>
        </w:tc>
        <w:tc>
          <w:tcPr/>
          <w:p>
            <w:pPr>
              <w:pStyle w:val="Compact"/>
              <w:jc w:val="center"/>
            </w:pPr>
            <w:r>
              <w:t xml:space="preserve">quantity</w:t>
            </w:r>
          </w:p>
        </w:tc>
        <w:tc>
          <w:tcPr/>
          <w:p>
            <w:pPr>
              <w:pStyle w:val="Compact"/>
              <w:jc w:val="center"/>
            </w:pPr>
            <w:r>
              <w:t xml:space="preserve">value in dollars</w:t>
            </w:r>
          </w:p>
        </w:tc>
      </w:tr>
      <w:tr>
        <w:tc>
          <w:tcPr/>
          <w:p>
            <w:pPr>
              <w:pStyle w:val="Compact"/>
              <w:jc w:val="center"/>
            </w:pPr>
            <w:r>
              <w:t xml:space="preserve">hammer</w:t>
            </w:r>
          </w:p>
        </w:tc>
        <w:tc>
          <w:tcPr/>
          <w:p>
            <w:pPr>
              <w:pStyle w:val="Compact"/>
              <w:jc w:val="center"/>
            </w:pPr>
            <w:r>
              <w:t xml:space="preserve">-12</w:t>
            </w:r>
          </w:p>
        </w:tc>
        <w:tc>
          <w:tcPr/>
          <w:p>
            <w:pPr>
              <w:pStyle w:val="Compact"/>
              <w:jc w:val="center"/>
            </w:pPr>
            <w:r>
              <w:t xml:space="preserve">85.14</w:t>
            </w:r>
          </w:p>
        </w:tc>
      </w:tr>
      <w:tr>
        <w:tc>
          <w:tcPr/>
          <w:p>
            <w:pPr>
              <w:pStyle w:val="Compact"/>
              <w:jc w:val="center"/>
            </w:pPr>
            <w:r>
              <w:t xml:space="preserve">washer</w:t>
            </w:r>
          </w:p>
        </w:tc>
        <w:tc>
          <w:tcPr/>
          <w:p>
            <w:pPr>
              <w:pStyle w:val="Compact"/>
              <w:jc w:val="center"/>
            </w:pPr>
            <w:r>
              <w:t xml:space="preserve">300</w:t>
            </w:r>
          </w:p>
        </w:tc>
        <w:tc>
          <w:tcPr/>
          <w:p>
            <w:pPr>
              <w:pStyle w:val="Compact"/>
              <w:jc w:val="center"/>
            </w:pPr>
            <w:r>
              <w:t xml:space="preserve">-15.00</w:t>
            </w:r>
          </w:p>
        </w:tc>
      </w:tr>
      <w:tr>
        <w:tc>
          <w:tcPr/>
          <w:p>
            <w:pPr>
              <w:pStyle w:val="Compact"/>
              <w:jc w:val="center"/>
            </w:pPr>
            <w:r>
              <w:t xml:space="preserve">bolt</w:t>
            </w:r>
          </w:p>
        </w:tc>
        <w:tc>
          <w:tcPr/>
          <w:p>
            <w:pPr>
              <w:pStyle w:val="Compact"/>
              <w:jc w:val="center"/>
            </w:pPr>
            <w:r>
              <w:t xml:space="preserve">-25</w:t>
            </w:r>
          </w:p>
        </w:tc>
        <w:tc>
          <w:tcPr/>
          <w:p>
            <w:pPr>
              <w:pStyle w:val="Compact"/>
              <w:jc w:val="center"/>
            </w:pPr>
            <w:r>
              <w:t xml:space="preserve">10.54</w:t>
            </w:r>
          </w:p>
        </w:tc>
      </w:tr>
      <w:tr>
        <w:tc>
          <w:tcPr/>
          <w:p>
            <w:pPr>
              <w:pStyle w:val="Compact"/>
              <w:jc w:val="center"/>
            </w:pPr>
            <w:r>
              <w:t xml:space="preserve">nail</w:t>
            </w:r>
          </w:p>
        </w:tc>
        <w:tc>
          <w:tcPr/>
          <w:p>
            <w:pPr>
              <w:pStyle w:val="Compact"/>
              <w:jc w:val="center"/>
            </w:pPr>
            <w:r>
              <w:t xml:space="preserve">500</w:t>
            </w:r>
          </w:p>
        </w:tc>
        <w:tc>
          <w:tcPr/>
          <w:p>
            <w:pPr>
              <w:pStyle w:val="Compact"/>
              <w:jc w:val="center"/>
            </w:pPr>
            <w:r>
              <w:t xml:space="preserve">-22.50</w:t>
            </w:r>
          </w:p>
        </w:tc>
      </w:tr>
      <w:tr>
        <w:tc>
          <w:tcPr/>
          <w:p>
            <w:pPr>
              <w:pStyle w:val="Compact"/>
              <w:jc w:val="center"/>
            </w:pPr>
            <w:r>
              <w:t xml:space="preserve">wrench</w:t>
            </w:r>
          </w:p>
        </w:tc>
        <w:tc>
          <w:tcPr/>
          <w:p>
            <w:pPr>
              <w:pStyle w:val="Compact"/>
              <w:jc w:val="center"/>
            </w:pPr>
            <w:r>
              <w:t xml:space="preserve">-4</w:t>
            </w:r>
          </w:p>
        </w:tc>
        <w:tc>
          <w:tcPr/>
          <w:p>
            <w:pPr>
              <w:pStyle w:val="Compact"/>
              <w:jc w:val="center"/>
            </w:pPr>
            <w:r>
              <w:t xml:space="preserve">51.88</w:t>
            </w:r>
          </w:p>
        </w:tc>
      </w:tr>
      <w:tr>
        <w:tc>
          <w:tcPr/>
          <w:p>
            <w:pPr>
              <w:pStyle w:val="Compact"/>
              <w:jc w:val="center"/>
            </w:pPr>
            <w:r>
              <w:t xml:space="preserve">flashlight</w:t>
            </w:r>
          </w:p>
        </w:tc>
        <w:tc>
          <w:tcPr/>
          <w:p>
            <w:pPr>
              <w:pStyle w:val="Compact"/>
              <w:jc w:val="center"/>
            </w:pPr>
            <w:r>
              <w:t xml:space="preserve">-18</w:t>
            </w:r>
          </w:p>
        </w:tc>
        <w:tc>
          <w:tcPr/>
          <w:p>
            <w:pPr>
              <w:pStyle w:val="Compact"/>
              <w:jc w:val="center"/>
            </w:pPr>
            <w:r>
              <w:t xml:space="preserve">123.23</w:t>
            </w:r>
          </w:p>
        </w:tc>
      </w:tr>
    </w:tbl>
    <w:bookmarkEnd w:id="20"/>
    <w:p>
      <w:pPr>
        <w:pStyle w:val="BodyText"/>
      </w:pPr>
      <w:r>
        <w:t xml:space="preserve"> </w:t>
      </w:r>
      <w:r>
        <w:t xml:space="preserve">Grade 6</w:t>
      </w:r>
      <w:r>
        <w:br/>
      </w:r>
      <w:r>
        <w:t xml:space="preserve">Unit 7</w:t>
      </w:r>
      <w:r>
        <w:t xml:space="preserve">Lesson 5</w:t>
      </w:r>
      <w:r>
        <w:t xml:space="preserve">CC BY NC Illustrative Mathematics, based on IM 6–8 Math, CC BY Open Up Resources.</w:t>
      </w:r>
    </w:p>
    <w:bookmarkStart w:id="21" w:name="activity-467384"/>
    <w:p>
      <w:pPr>
        <w:pStyle w:val="Heading2"/>
      </w:pPr>
      <w:r>
        <w:t xml:space="preserve">5.2</w:t>
      </w:r>
      <w:r>
        <w:t xml:space="preserve">The Hardware Store</w:t>
      </w:r>
    </w:p>
    <w:p>
      <w:pPr>
        <w:pStyle w:val="FirstParagraph"/>
      </w:pPr>
      <w:r>
        <w:t xml:space="preserve">The manager of a hardware store keeps records of all of the items purchased and sold. The table shows some of the records for Tuesday.</w:t>
      </w:r>
    </w:p>
    <w:tbl>
      <w:tblPr>
        <w:tblStyle w:val="Table"/>
        <w:tblW w:type="auto" w:w="0"/>
        <w:tblLook w:firstRow="0" w:lastRow="0" w:firstColumn="0" w:lastColumn="0" w:noHBand="0" w:noVBand="0" w:val="0000"/>
      </w:tblPr>
      <w:tblGrid>
        <w:gridCol w:w="2640"/>
        <w:gridCol w:w="2640"/>
        <w:gridCol w:w="2640"/>
      </w:tblGrid>
      <w:tr>
        <w:tc>
          <w:tcPr/>
          <w:p>
            <w:pPr>
              <w:pStyle w:val="Compact"/>
              <w:jc w:val="center"/>
            </w:pPr>
            <w:r>
              <w:t xml:space="preserve">item</w:t>
            </w:r>
          </w:p>
        </w:tc>
        <w:tc>
          <w:tcPr/>
          <w:p>
            <w:pPr>
              <w:pStyle w:val="Compact"/>
              <w:jc w:val="center"/>
            </w:pPr>
            <w:r>
              <w:t xml:space="preserve">quantity</w:t>
            </w:r>
          </w:p>
        </w:tc>
        <w:tc>
          <w:tcPr/>
          <w:p>
            <w:pPr>
              <w:pStyle w:val="Compact"/>
              <w:jc w:val="center"/>
            </w:pPr>
            <w:r>
              <w:t xml:space="preserve">value in dollars</w:t>
            </w:r>
          </w:p>
        </w:tc>
      </w:tr>
      <w:tr>
        <w:tc>
          <w:tcPr/>
          <w:p>
            <w:pPr>
              <w:pStyle w:val="Compact"/>
              <w:jc w:val="center"/>
            </w:pPr>
            <w:r>
              <w:t xml:space="preserve">hammer</w:t>
            </w:r>
          </w:p>
        </w:tc>
        <w:tc>
          <w:tcPr/>
          <w:p>
            <w:pPr>
              <w:pStyle w:val="Compact"/>
              <w:jc w:val="center"/>
            </w:pPr>
            <w:r>
              <w:t xml:space="preserve">-12</w:t>
            </w:r>
          </w:p>
        </w:tc>
        <w:tc>
          <w:tcPr/>
          <w:p>
            <w:pPr>
              <w:pStyle w:val="Compact"/>
              <w:jc w:val="center"/>
            </w:pPr>
            <w:r>
              <w:t xml:space="preserve">85.14</w:t>
            </w:r>
          </w:p>
        </w:tc>
      </w:tr>
      <w:tr>
        <w:tc>
          <w:tcPr/>
          <w:p>
            <w:pPr>
              <w:pStyle w:val="Compact"/>
              <w:jc w:val="center"/>
            </w:pPr>
            <w:r>
              <w:t xml:space="preserve">washer</w:t>
            </w:r>
          </w:p>
        </w:tc>
        <w:tc>
          <w:tcPr/>
          <w:p>
            <w:pPr>
              <w:pStyle w:val="Compact"/>
              <w:jc w:val="center"/>
            </w:pPr>
            <w:r>
              <w:t xml:space="preserve">300</w:t>
            </w:r>
          </w:p>
        </w:tc>
        <w:tc>
          <w:tcPr/>
          <w:p>
            <w:pPr>
              <w:pStyle w:val="Compact"/>
              <w:jc w:val="center"/>
            </w:pPr>
            <w:r>
              <w:t xml:space="preserve">-15.00</w:t>
            </w:r>
          </w:p>
        </w:tc>
      </w:tr>
      <w:tr>
        <w:tc>
          <w:tcPr/>
          <w:p>
            <w:pPr>
              <w:pStyle w:val="Compact"/>
              <w:jc w:val="center"/>
            </w:pPr>
            <w:r>
              <w:t xml:space="preserve">bolt</w:t>
            </w:r>
          </w:p>
        </w:tc>
        <w:tc>
          <w:tcPr/>
          <w:p>
            <w:pPr>
              <w:pStyle w:val="Compact"/>
              <w:jc w:val="center"/>
            </w:pPr>
            <w:r>
              <w:t xml:space="preserve">-25</w:t>
            </w:r>
          </w:p>
        </w:tc>
        <w:tc>
          <w:tcPr/>
          <w:p>
            <w:pPr>
              <w:pStyle w:val="Compact"/>
              <w:jc w:val="center"/>
            </w:pPr>
            <w:r>
              <w:t xml:space="preserve">10.54</w:t>
            </w:r>
          </w:p>
        </w:tc>
      </w:tr>
      <w:tr>
        <w:tc>
          <w:tcPr/>
          <w:p>
            <w:pPr>
              <w:pStyle w:val="Compact"/>
              <w:jc w:val="center"/>
            </w:pPr>
            <w:r>
              <w:t xml:space="preserve">nail</w:t>
            </w:r>
          </w:p>
        </w:tc>
        <w:tc>
          <w:tcPr/>
          <w:p>
            <w:pPr>
              <w:pStyle w:val="Compact"/>
              <w:jc w:val="center"/>
            </w:pPr>
            <w:r>
              <w:t xml:space="preserve">500</w:t>
            </w:r>
          </w:p>
        </w:tc>
        <w:tc>
          <w:tcPr/>
          <w:p>
            <w:pPr>
              <w:pStyle w:val="Compact"/>
              <w:jc w:val="center"/>
            </w:pPr>
            <w:r>
              <w:t xml:space="preserve">-22.50</w:t>
            </w:r>
          </w:p>
        </w:tc>
      </w:tr>
      <w:tr>
        <w:tc>
          <w:tcPr/>
          <w:p>
            <w:pPr>
              <w:pStyle w:val="Compact"/>
              <w:jc w:val="center"/>
            </w:pPr>
            <w:r>
              <w:t xml:space="preserve">wrench</w:t>
            </w:r>
          </w:p>
        </w:tc>
        <w:tc>
          <w:tcPr/>
          <w:p>
            <w:pPr>
              <w:pStyle w:val="Compact"/>
              <w:jc w:val="center"/>
            </w:pPr>
            <w:r>
              <w:t xml:space="preserve">-4</w:t>
            </w:r>
          </w:p>
        </w:tc>
        <w:tc>
          <w:tcPr/>
          <w:p>
            <w:pPr>
              <w:pStyle w:val="Compact"/>
              <w:jc w:val="center"/>
            </w:pPr>
            <w:r>
              <w:t xml:space="preserve">51.88</w:t>
            </w:r>
          </w:p>
        </w:tc>
      </w:tr>
      <w:tr>
        <w:tc>
          <w:tcPr/>
          <w:p>
            <w:pPr>
              <w:pStyle w:val="Compact"/>
              <w:jc w:val="center"/>
            </w:pPr>
            <w:r>
              <w:t xml:space="preserve">flashlight</w:t>
            </w:r>
          </w:p>
        </w:tc>
        <w:tc>
          <w:tcPr/>
          <w:p>
            <w:pPr>
              <w:pStyle w:val="Compact"/>
              <w:jc w:val="center"/>
            </w:pPr>
            <w:r>
              <w:t xml:space="preserve">-18</w:t>
            </w:r>
          </w:p>
        </w:tc>
        <w:tc>
          <w:tcPr/>
          <w:p>
            <w:pPr>
              <w:pStyle w:val="Compact"/>
              <w:jc w:val="center"/>
            </w:pPr>
            <w:r>
              <w:t xml:space="preserve">123.23</w:t>
            </w:r>
          </w:p>
        </w:tc>
      </w:tr>
    </w:tbl>
    <w:p>
      <w:pPr>
        <w:numPr>
          <w:ilvl w:val="0"/>
          <w:numId w:val="1001"/>
        </w:numPr>
        <w:pStyle w:val="Compact"/>
      </w:pPr>
      <w:r>
        <w:t xml:space="preserve">Which items were sold at the hardware store on Tuesday? Explain your reasoning.</w:t>
      </w:r>
    </w:p>
    <w:p>
      <w:pPr>
        <w:numPr>
          <w:ilvl w:val="0"/>
          <w:numId w:val="1001"/>
        </w:numPr>
        <w:pStyle w:val="Compact"/>
      </w:pPr>
      <w:r>
        <w:t xml:space="preserve">What does -25 mean in this situation?</w:t>
      </w:r>
    </w:p>
    <w:p>
      <w:pPr>
        <w:numPr>
          <w:ilvl w:val="0"/>
          <w:numId w:val="1001"/>
        </w:numPr>
        <w:pStyle w:val="Compact"/>
      </w:pPr>
      <w:r>
        <w:t xml:space="preserve">What does -15.00 mean in this situation?</w:t>
      </w:r>
    </w:p>
    <w:p>
      <w:pPr>
        <w:numPr>
          <w:ilvl w:val="0"/>
          <w:numId w:val="1001"/>
        </w:numPr>
        <w:pStyle w:val="Compact"/>
      </w:pPr>
      <w:r>
        <w:t xml:space="preserve">On which item did the manager spend the most amount of money? Explain your reasoning.</w:t>
      </w:r>
    </w:p>
    <w:bookmarkEnd w:id="21"/>
    <w:p>
      <w:pPr>
        <w:pStyle w:val="FirstParagraph"/>
      </w:pPr>
      <w:r>
        <w:t xml:space="preserve"> </w:t>
      </w:r>
      <w:r>
        <w:t xml:space="preserve">Grade 6</w:t>
      </w:r>
      <w:r>
        <w:br/>
      </w:r>
      <w:r>
        <w:t xml:space="preserve">Unit 7</w:t>
      </w:r>
      <w:r>
        <w:t xml:space="preserve">Lesson 5</w:t>
      </w:r>
      <w:r>
        <w:t xml:space="preserve">CC BY NC Illustrative Mathematics, based on IM 6–8 Math, CC BY Open Up Resources.</w:t>
      </w:r>
    </w:p>
    <w:bookmarkStart w:id="23" w:name="activity-467385"/>
    <w:p>
      <w:pPr>
        <w:pStyle w:val="Heading2"/>
      </w:pPr>
      <w:r>
        <w:t xml:space="preserve">5.3</w:t>
      </w:r>
      <w:r>
        <w:t xml:space="preserve">Drinks for Sale</w:t>
      </w:r>
    </w:p>
    <w:p>
      <w:pPr>
        <w:pStyle w:val="FirstParagraph"/>
      </w:pPr>
      <w:r>
        <w:t xml:space="preserve">A vending machine in an office building sells bottled beverages. The machine keeps track of all changes in the number of bottles from sales and from machine refills and maintenance. This table shows the changes for every 1-hour period over one day.</w:t>
      </w:r>
    </w:p>
    <w:p>
      <w:pPr>
        <w:numPr>
          <w:ilvl w:val="0"/>
          <w:numId w:val="1002"/>
        </w:numPr>
        <w:pStyle w:val="Compact"/>
      </w:pPr>
      <w:r>
        <w:t xml:space="preserve">What does a positive number in the second column mean in this context? What does a negative number mean in this context?</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center"/>
            </w:pPr>
            <w:r>
              <w:t xml:space="preserve">time</w:t>
            </w:r>
          </w:p>
        </w:tc>
        <w:tc>
          <w:tcPr/>
          <w:p>
            <w:pPr>
              <w:numPr>
                <w:ilvl w:val="0"/>
                <w:numId w:val="1000"/>
              </w:numPr>
              <w:pStyle w:val="Compact"/>
              <w:jc w:val="center"/>
            </w:pPr>
            <w:r>
              <w:t xml:space="preserve">number of bottles</w:t>
            </w:r>
          </w:p>
        </w:tc>
      </w:tr>
      <w:tr>
        <w:tc>
          <w:tcPr/>
          <w:p>
            <w:pPr>
              <w:numPr>
                <w:ilvl w:val="0"/>
                <w:numId w:val="1000"/>
              </w:numPr>
              <w:pStyle w:val="Compact"/>
              <w:jc w:val="center"/>
            </w:pPr>
            <w:r>
              <w:t xml:space="preserve">8:00–8:59 </w:t>
            </w:r>
          </w:p>
        </w:tc>
        <w:tc>
          <w:tcPr/>
          <w:p>
            <w:pPr>
              <w:numPr>
                <w:ilvl w:val="0"/>
                <w:numId w:val="1000"/>
              </w:numPr>
              <w:pStyle w:val="Compact"/>
              <w:jc w:val="center"/>
            </w:pPr>
            <w:r>
              <w:t xml:space="preserve">-1</w:t>
            </w:r>
          </w:p>
        </w:tc>
      </w:tr>
      <w:tr>
        <w:tc>
          <w:tcPr/>
          <w:p>
            <w:pPr>
              <w:numPr>
                <w:ilvl w:val="0"/>
                <w:numId w:val="1000"/>
              </w:numPr>
              <w:pStyle w:val="Compact"/>
              <w:jc w:val="center"/>
            </w:pPr>
            <w:r>
              <w:t xml:space="preserve">9:00–9:59</w:t>
            </w:r>
          </w:p>
        </w:tc>
        <w:tc>
          <w:tcPr/>
          <w:p>
            <w:pPr>
              <w:numPr>
                <w:ilvl w:val="0"/>
                <w:numId w:val="1000"/>
              </w:numPr>
              <w:pStyle w:val="Compact"/>
              <w:jc w:val="center"/>
            </w:pPr>
            <w:r>
              <w:t xml:space="preserve">+12</w:t>
            </w:r>
          </w:p>
        </w:tc>
      </w:tr>
      <w:tr>
        <w:tc>
          <w:tcPr/>
          <w:p>
            <w:pPr>
              <w:numPr>
                <w:ilvl w:val="0"/>
                <w:numId w:val="1000"/>
              </w:numPr>
              <w:pStyle w:val="Compact"/>
              <w:jc w:val="center"/>
            </w:pPr>
            <w:r>
              <w:t xml:space="preserve">10:00–10:59 </w:t>
            </w:r>
          </w:p>
        </w:tc>
        <w:tc>
          <w:tcPr/>
          <w:p>
            <w:pPr>
              <w:numPr>
                <w:ilvl w:val="0"/>
                <w:numId w:val="1000"/>
              </w:numPr>
              <w:pStyle w:val="Compact"/>
              <w:jc w:val="center"/>
            </w:pPr>
            <w:r>
              <w:t xml:space="preserve">-4</w:t>
            </w:r>
          </w:p>
        </w:tc>
      </w:tr>
      <w:tr>
        <w:tc>
          <w:tcPr/>
          <w:p>
            <w:pPr>
              <w:numPr>
                <w:ilvl w:val="0"/>
                <w:numId w:val="1000"/>
              </w:numPr>
              <w:pStyle w:val="Compact"/>
              <w:jc w:val="center"/>
            </w:pPr>
            <w:r>
              <w:t xml:space="preserve">11:00–11:59 </w:t>
            </w:r>
          </w:p>
        </w:tc>
        <w:tc>
          <w:tcPr/>
          <w:p>
            <w:pPr>
              <w:numPr>
                <w:ilvl w:val="0"/>
                <w:numId w:val="1000"/>
              </w:numPr>
              <w:pStyle w:val="Compact"/>
              <w:jc w:val="center"/>
            </w:pPr>
            <w:r>
              <w:t xml:space="preserve">-1</w:t>
            </w:r>
          </w:p>
        </w:tc>
      </w:tr>
      <w:tr>
        <w:tc>
          <w:tcPr/>
          <w:p>
            <w:pPr>
              <w:numPr>
                <w:ilvl w:val="0"/>
                <w:numId w:val="1000"/>
              </w:numPr>
              <w:pStyle w:val="Compact"/>
              <w:jc w:val="center"/>
            </w:pPr>
            <w:r>
              <w:t xml:space="preserve">12:00–12:59 </w:t>
            </w:r>
          </w:p>
        </w:tc>
        <w:tc>
          <w:tcPr/>
          <w:p>
            <w:pPr>
              <w:numPr>
                <w:ilvl w:val="0"/>
                <w:numId w:val="1000"/>
              </w:numPr>
              <w:pStyle w:val="Compact"/>
              <w:jc w:val="center"/>
            </w:pPr>
            <w:r>
              <w:t xml:space="preserve">-5</w:t>
            </w:r>
          </w:p>
        </w:tc>
      </w:tr>
      <w:tr>
        <w:tc>
          <w:tcPr/>
          <w:p>
            <w:pPr>
              <w:numPr>
                <w:ilvl w:val="0"/>
                <w:numId w:val="1000"/>
              </w:numPr>
              <w:pStyle w:val="Compact"/>
              <w:jc w:val="center"/>
            </w:pPr>
            <w:r>
              <w:t xml:space="preserve">1:00–1:59 </w:t>
            </w:r>
          </w:p>
        </w:tc>
        <w:tc>
          <w:tcPr/>
          <w:p>
            <w:pPr>
              <w:numPr>
                <w:ilvl w:val="0"/>
                <w:numId w:val="1000"/>
              </w:numPr>
              <w:pStyle w:val="Compact"/>
              <w:jc w:val="center"/>
            </w:pPr>
            <w:r>
              <w:t xml:space="preserve">-12</w:t>
            </w:r>
          </w:p>
        </w:tc>
      </w:tr>
      <w:tr>
        <w:tc>
          <w:tcPr/>
          <w:p>
            <w:pPr>
              <w:numPr>
                <w:ilvl w:val="0"/>
                <w:numId w:val="1000"/>
              </w:numPr>
              <w:pStyle w:val="Compact"/>
              <w:jc w:val="center"/>
            </w:pPr>
            <w:r>
              <w:t xml:space="preserve">2:00–2:59 </w:t>
            </w:r>
          </w:p>
        </w:tc>
        <w:tc>
          <w:tcPr/>
          <w:p>
            <w:pPr>
              <w:numPr>
                <w:ilvl w:val="0"/>
                <w:numId w:val="1000"/>
              </w:numPr>
              <w:pStyle w:val="Compact"/>
              <w:jc w:val="center"/>
            </w:pPr>
            <w:r>
              <w:t xml:space="preserve">-2</w:t>
            </w:r>
          </w:p>
        </w:tc>
      </w:tr>
      <w:tr>
        <w:tc>
          <w:tcPr/>
          <w:p>
            <w:pPr>
              <w:numPr>
                <w:ilvl w:val="0"/>
                <w:numId w:val="1000"/>
              </w:numPr>
              <w:pStyle w:val="Compact"/>
              <w:jc w:val="center"/>
            </w:pPr>
            <w:r>
              <w:t xml:space="preserve">3:00–3:59 </w:t>
            </w:r>
          </w:p>
        </w:tc>
        <w:tc>
          <w:tcPr/>
          <w:p>
            <w:pPr>
              <w:numPr>
                <w:ilvl w:val="0"/>
                <w:numId w:val="1000"/>
              </w:numPr>
              <w:pStyle w:val="Compact"/>
              <w:jc w:val="center"/>
            </w:pPr>
            <w:r>
              <w:t xml:space="preserve">0</w:t>
            </w:r>
          </w:p>
        </w:tc>
      </w:tr>
      <w:tr>
        <w:tc>
          <w:tcPr/>
          <w:p>
            <w:pPr>
              <w:numPr>
                <w:ilvl w:val="0"/>
                <w:numId w:val="1000"/>
              </w:numPr>
              <w:pStyle w:val="Compact"/>
              <w:jc w:val="center"/>
            </w:pPr>
            <w:r>
              <w:t xml:space="preserve">4:00–4:59 </w:t>
            </w:r>
          </w:p>
        </w:tc>
        <w:tc>
          <w:tcPr/>
          <w:p>
            <w:pPr>
              <w:numPr>
                <w:ilvl w:val="0"/>
                <w:numId w:val="1000"/>
              </w:numPr>
              <w:pStyle w:val="Compact"/>
              <w:jc w:val="center"/>
            </w:pPr>
            <w:r>
              <w:t xml:space="preserve">0</w:t>
            </w:r>
          </w:p>
        </w:tc>
      </w:tr>
      <w:tr>
        <w:tc>
          <w:tcPr/>
          <w:p>
            <w:pPr>
              <w:numPr>
                <w:ilvl w:val="0"/>
                <w:numId w:val="1000"/>
              </w:numPr>
              <w:pStyle w:val="Compact"/>
              <w:jc w:val="center"/>
            </w:pPr>
            <w:r>
              <w:t xml:space="preserve">5:00–5:59 </w:t>
            </w:r>
          </w:p>
        </w:tc>
        <w:tc>
          <w:tcPr/>
          <w:p>
            <w:pPr>
              <w:numPr>
                <w:ilvl w:val="0"/>
                <w:numId w:val="1000"/>
              </w:numPr>
              <w:pStyle w:val="Compact"/>
              <w:jc w:val="center"/>
            </w:pPr>
            <w:r>
              <w:t xml:space="preserve">-6</w:t>
            </w:r>
          </w:p>
        </w:tc>
      </w:tr>
      <w:tr>
        <w:tc>
          <w:tcPr/>
          <w:p>
            <w:pPr>
              <w:numPr>
                <w:ilvl w:val="0"/>
                <w:numId w:val="1000"/>
              </w:numPr>
              <w:pStyle w:val="Compact"/>
              <w:jc w:val="center"/>
            </w:pPr>
            <w:r>
              <w:t xml:space="preserve">6:00–6:59 </w:t>
            </w:r>
          </w:p>
        </w:tc>
        <w:tc>
          <w:tcPr/>
          <w:p>
            <w:pPr>
              <w:numPr>
                <w:ilvl w:val="0"/>
                <w:numId w:val="1000"/>
              </w:numPr>
              <w:pStyle w:val="Compact"/>
              <w:jc w:val="center"/>
            </w:pPr>
            <w:r>
              <w:t xml:space="preserve">+24</w:t>
            </w:r>
          </w:p>
        </w:tc>
      </w:tr>
      <w:tr>
        <w:tc>
          <w:tcPr/>
          <w:p>
            <w:pPr>
              <w:numPr>
                <w:ilvl w:val="0"/>
                <w:numId w:val="1000"/>
              </w:numPr>
              <w:pStyle w:val="Compact"/>
              <w:jc w:val="center"/>
            </w:pPr>
            <w:r>
              <w:t xml:space="preserve">7:00–7:59 </w:t>
            </w:r>
          </w:p>
        </w:tc>
        <w:tc>
          <w:tcPr/>
          <w:p>
            <w:pPr>
              <w:numPr>
                <w:ilvl w:val="0"/>
                <w:numId w:val="1000"/>
              </w:numPr>
              <w:pStyle w:val="Compact"/>
              <w:jc w:val="center"/>
            </w:pPr>
            <w:r>
              <w:t xml:space="preserve">0</w:t>
            </w:r>
          </w:p>
        </w:tc>
      </w:tr>
      <w:tr>
        <w:tc>
          <w:tcPr/>
          <w:p>
            <w:pPr>
              <w:numPr>
                <w:ilvl w:val="0"/>
                <w:numId w:val="1000"/>
              </w:numPr>
              <w:pStyle w:val="Compact"/>
              <w:jc w:val="center"/>
            </w:pPr>
            <w:r>
              <w:t xml:space="preserve">service</w:t>
            </w:r>
          </w:p>
        </w:tc>
        <w:tc>
          <w:tcPr/>
          <w:p>
            <w:pPr>
              <w:pStyle w:val="Compact"/>
            </w:pPr>
          </w:p>
        </w:tc>
      </w:tr>
    </w:tbl>
    <w:p>
      <w:pPr>
        <w:numPr>
          <w:ilvl w:val="0"/>
          <w:numId w:val="1002"/>
        </w:numPr>
        <w:pStyle w:val="Compact"/>
      </w:pPr>
      <w:r>
        <w:t xml:space="preserve">What would a “0” in the second column mean in this situation?</w:t>
      </w:r>
    </w:p>
    <w:p>
      <w:pPr>
        <w:numPr>
          <w:ilvl w:val="0"/>
          <w:numId w:val="1002"/>
        </w:numPr>
        <w:pStyle w:val="Compact"/>
      </w:pPr>
      <w:r>
        <w:t xml:space="preserve">Which numbers—positive or negative—result in fewer bottles in the machine?</w:t>
      </w:r>
    </w:p>
    <w:p>
      <w:pPr>
        <w:numPr>
          <w:ilvl w:val="0"/>
          <w:numId w:val="1002"/>
        </w:numPr>
        <w:pStyle w:val="Compact"/>
      </w:pPr>
      <w:r>
        <w:t xml:space="preserve">At what time was there the greatest change in the number of bottles in the machine? How did that change affect the number of remaining bottles in the machine?</w:t>
      </w:r>
    </w:p>
    <w:p>
      <w:pPr>
        <w:numPr>
          <w:ilvl w:val="0"/>
          <w:numId w:val="1002"/>
        </w:numPr>
        <w:pStyle w:val="Compact"/>
      </w:pPr>
      <w:r>
        <w:t xml:space="preserve">At which time period, 9:00–9:59 AM or 1:00–1:59 PM, was there a greater change to the number of bottles in the machine? Explain your reasoning.</w:t>
      </w:r>
    </w:p>
    <w:p>
      <w:pPr>
        <w:numPr>
          <w:ilvl w:val="0"/>
          <w:numId w:val="1002"/>
        </w:numPr>
        <w:pStyle w:val="Compact"/>
      </w:pPr>
      <w:r>
        <w:t xml:space="preserve">The machine must be emptied to be serviced. If there are 40 bottles in the machine when it is to be serviced, what number will go in the second column in the table?</w:t>
      </w:r>
    </w:p>
    <w:bookmarkStart w:id="22" w:name="activity-467385"/>
    <w:p>
      <w:pPr>
        <w:pStyle w:val="Heading3"/>
      </w:pPr>
      <w:r>
        <w:t xml:space="preserve">Are you ready for more?</w:t>
      </w:r>
    </w:p>
    <w:p>
      <w:pPr>
        <w:pStyle w:val="FirstParagraph"/>
      </w:pPr>
      <w:r>
        <w:t xml:space="preserve">Priya, Mai, and Lin went to a cafe on a weekend. Their shared bill came to</w:t>
      </w:r>
      <w:r>
        <w:t xml:space="preserve"> </w:t>
      </w:r>
      <w:r>
        <w:t xml:space="preserve">$</w:t>
      </w:r>
      <w:r>
        <w:t xml:space="preserve">25. Each student gave the server a</w:t>
      </w:r>
      <w:r>
        <w:t xml:space="preserve"> </w:t>
      </w:r>
      <w:r>
        <w:t xml:space="preserve">$</w:t>
      </w:r>
      <w:r>
        <w:t xml:space="preserve">10 bill. The server took this</w:t>
      </w:r>
      <w:r>
        <w:t xml:space="preserve"> </w:t>
      </w:r>
      <w:r>
        <w:t xml:space="preserve">$</w:t>
      </w:r>
      <w:r>
        <w:t xml:space="preserve">30 and brought back five</w:t>
      </w:r>
      <w:r>
        <w:t xml:space="preserve"> </w:t>
      </w:r>
      <w:r>
        <w:t xml:space="preserve">$</w:t>
      </w:r>
      <w:r>
        <w:t xml:space="preserve">1 bills in change. Each student took</w:t>
      </w:r>
      <w:r>
        <w:t xml:space="preserve"> </w:t>
      </w:r>
      <w:r>
        <w:t xml:space="preserve">$</w:t>
      </w:r>
      <w:r>
        <w:t xml:space="preserve">1 back, leaving the rest,</w:t>
      </w:r>
      <w:r>
        <w:t xml:space="preserve"> </w:t>
      </w:r>
      <w:r>
        <w:t xml:space="preserve">$</w:t>
      </w:r>
      <w:r>
        <w:t xml:space="preserve">2, as a tip for the server.</w:t>
      </w:r>
    </w:p>
    <w:p>
      <w:pPr>
        <w:pStyle w:val="BodyText"/>
      </w:pPr>
      <w:r>
        <w:t xml:space="preserve">As she walked away from the cafe, Lin thought, “Wait—this doesn’t make sense. Since I put in</w:t>
      </w:r>
      <w:r>
        <w:t xml:space="preserve"> </w:t>
      </w:r>
      <w:r>
        <w:t xml:space="preserve">$</w:t>
      </w:r>
      <w:r>
        <w:t xml:space="preserve">10 and got</w:t>
      </w:r>
      <w:r>
        <w:t xml:space="preserve"> </w:t>
      </w:r>
      <w:r>
        <w:t xml:space="preserve">$</w:t>
      </w:r>
      <w:r>
        <w:t xml:space="preserve">1 back, I ended up paying</w:t>
      </w:r>
      <w:r>
        <w:t xml:space="preserve"> </w:t>
      </w:r>
      <w:r>
        <w:t xml:space="preserve">$</w:t>
      </w:r>
      <w:r>
        <w:t xml:space="preserve">9. So did Mai and Priya. Together, we paid</w:t>
      </w:r>
      <w:r>
        <w:t xml:space="preserve"> </w:t>
      </w:r>
      <w:r>
        <w:t xml:space="preserve">$</w:t>
      </w:r>
      <w:r>
        <w:t xml:space="preserve">27. Then we left a</w:t>
      </w:r>
      <w:r>
        <w:t xml:space="preserve"> </w:t>
      </w:r>
      <w:r>
        <w:t xml:space="preserve">$</w:t>
      </w:r>
      <w:r>
        <w:t xml:space="preserve">2 tip. That makes</w:t>
      </w:r>
      <w:r>
        <w:t xml:space="preserve"> </w:t>
      </w:r>
      <w:r>
        <w:t xml:space="preserve">$</w:t>
      </w:r>
      <w:r>
        <w:t xml:space="preserve">29 total. And yet we originally gave the waiter</w:t>
      </w:r>
      <w:r>
        <w:t xml:space="preserve"> </w:t>
      </w:r>
      <w:r>
        <w:t xml:space="preserve">$</w:t>
      </w:r>
      <w:r>
        <w:t xml:space="preserve">30. Where did the extra dollar go?”</w:t>
      </w:r>
    </w:p>
    <w:p>
      <w:pPr>
        <w:pStyle w:val="BodyText"/>
      </w:pPr>
      <w:r>
        <w:t xml:space="preserve">Think about the situation and about Lin’s question. Do you agree that the numbers didn’t add up properly? Explain your reasoning.</w:t>
      </w:r>
    </w:p>
    <w:bookmarkEnd w:id="22"/>
    <w:bookmarkEnd w:id="23"/>
    <w:bookmarkStart w:id="24" w:name="lesson-467382"/>
    <w:p>
      <w:pPr>
        <w:pStyle w:val="Heading2"/>
      </w:pPr>
      <w:r>
        <w:t xml:space="preserve">Lesson 5 Summary</w:t>
      </w:r>
    </w:p>
    <w:p>
      <w:pPr>
        <w:pStyle w:val="FirstParagraph"/>
      </w:pPr>
      <w:r>
        <w:t xml:space="preserve">Changes in a quantity can be represented with positive and negative numbers. If the quantity increases, the change is positive. If it decreases, the change is negative.</w:t>
      </w:r>
    </w:p>
    <w:p>
      <w:pPr>
        <w:numPr>
          <w:ilvl w:val="0"/>
          <w:numId w:val="1003"/>
        </w:numPr>
        <w:pStyle w:val="Compact"/>
      </w:pPr>
      <w:r>
        <w:t xml:space="preserve">Suppose 5 gallons of water is put in a washing machine. We can represent the change in the number of gallons as +5. If 3 gallons is emptied from the machine, we can represent the change as -3.</w:t>
      </w:r>
    </w:p>
    <w:p>
      <w:pPr>
        <w:pStyle w:val="FirstParagraph"/>
      </w:pPr>
      <w:r>
        <w:t xml:space="preserve">It is especially common to represent money we receive with positive numbers and money we spend with negative numbers.</w:t>
      </w:r>
    </w:p>
    <w:p>
      <w:pPr>
        <w:numPr>
          <w:ilvl w:val="0"/>
          <w:numId w:val="1004"/>
        </w:numPr>
        <w:pStyle w:val="Compact"/>
      </w:pPr>
      <w:r>
        <w:t xml:space="preserve">Suppose Clare gets</w:t>
      </w:r>
      <w:r>
        <w:t xml:space="preserve"> </w:t>
      </w:r>
      <w:r>
        <w:t xml:space="preserve">$</w:t>
      </w:r>
      <w:r>
        <w:t xml:space="preserve">30.00 for her birthday and spends</w:t>
      </w:r>
      <w:r>
        <w:t xml:space="preserve"> </w:t>
      </w:r>
      <w:r>
        <w:t xml:space="preserve">$</w:t>
      </w:r>
      <w:r>
        <w:t xml:space="preserve">18.00 buying lunch for herself and a friend. To her, the value of the gift can be represented as +30.00 and the value of the lunch as -18.00. </w:t>
      </w:r>
    </w:p>
    <w:p>
      <w:pPr>
        <w:pStyle w:val="FirstParagraph"/>
      </w:pPr>
      <w:r>
        <w:t xml:space="preserve">Whether a number is considered positive or negative depends on a person’s perspective. If Clare’s grandmother gives her $20 for her birthday, Clare might see this as +20 because to her, the amount of money that she has increased. But her grandmother might see it as -20, because to her, the amount of money that she has decreased.</w:t>
      </w:r>
    </w:p>
    <w:p>
      <w:pPr>
        <w:pStyle w:val="BodyText"/>
      </w:pPr>
      <w:r>
        <w:t xml:space="preserve">In general, when using positive and negative numbers to represent changes, we have to be very clear about what it means when the change is positive and what it means when the change is negative.</w:t>
      </w:r>
    </w:p>
    <w:bookmarkEnd w:id="24"/>
    <w:bookmarkEnd w:id="2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2024-11-19T12:10:47Z</dcterms:created>
  <dcterms:modified xsi:type="dcterms:W3CDTF">2024-11-19T12:10:47Z</dcterms:modified>
</cp:coreProperties>
</file>

<file path=docProps/custom.xml><?xml version="1.0" encoding="utf-8"?>
<Properties xmlns="http://schemas.openxmlformats.org/officeDocument/2006/custom-properties" xmlns:vt="http://schemas.openxmlformats.org/officeDocument/2006/docPropsVTypes"/>
</file>