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hay-suficientes"/>
    <w:p>
      <w:pPr>
        <w:pStyle w:val="Heading1"/>
      </w:pPr>
      <w:r>
        <w:t xml:space="preserve">Lesson 10: ¿Hay suficientes?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K.CC.B.4,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“are there enough” questions about objects.</w:t>
      </w:r>
    </w:p>
    <w:bookmarkEnd w:id="24"/>
    <w:bookmarkStart w:id="25" w:name="student-facing-learning-goals"/>
    <w:p>
      <w:pPr>
        <w:pStyle w:val="Heading3"/>
      </w:pPr>
      <w:r>
        <w:t xml:space="preserve">Student-facing Learning Goals</w:t>
      </w:r>
    </w:p>
    <w:p>
      <w:pPr>
        <w:numPr>
          <w:ilvl w:val="0"/>
          <w:numId w:val="1002"/>
        </w:numPr>
        <w:pStyle w:val="Compact"/>
      </w:pPr>
      <w:r>
        <w:t xml:space="preserve">Averigüemos si hay suficientes materiales para todos.</w:t>
      </w:r>
    </w:p>
    <w:bookmarkEnd w:id="25"/>
    <w:bookmarkStart w:id="26" w:name="lesson-purpose"/>
    <w:p>
      <w:pPr>
        <w:pStyle w:val="Heading3"/>
      </w:pPr>
      <w:r>
        <w:t xml:space="preserve">Lesson Purpose</w:t>
      </w:r>
    </w:p>
    <w:p>
      <w:pPr>
        <w:pStyle w:val="FirstParagraph"/>
      </w:pPr>
      <w:r>
        <w:t xml:space="preserve">The purpose of this lesson is for students to develop and practice one-to-one correspondence in the context of answering "are there enough" questions.</w:t>
      </w:r>
    </w:p>
    <w:p>
      <w:pPr>
        <w:pStyle w:val="BodyText"/>
      </w:pPr>
      <w:r>
        <w:t xml:space="preserve">While some students might count the number of objects and compare that number to the number of students, the focus of the activity is on matching one object to each person to see if there are enough.</w:t>
      </w:r>
    </w:p>
    <w:p>
      <w:pPr>
        <w:pStyle w:val="BodyText"/>
      </w:pPr>
      <w:r>
        <w:t xml:space="preserve">Each of the lessons in this section begins with a How Many Do You See routine to build on the subitizing work in a previous section. Students extend the Act It Out routine with a new story.</w:t>
      </w:r>
    </w:p>
    <w:p>
      <w:pPr>
        <w:pStyle w:val="BodyText"/>
      </w:pPr>
      <w:r>
        <w:t xml:space="preserve">Throughout the section, observe students for the look-fors on the Unit 1, Sections A-D Checkpoint.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Act It Out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Erasers: Activity 2</w:t>
      </w:r>
    </w:p>
    <w:p>
      <w:pPr>
        <w:numPr>
          <w:ilvl w:val="0"/>
          <w:numId w:val="1005"/>
        </w:numPr>
        <w:pStyle w:val="Compact"/>
      </w:pPr>
      <w:r>
        <w:t xml:space="preserve">Materials from previous centers: Activity 3</w:t>
      </w:r>
    </w:p>
    <w:p>
      <w:pPr>
        <w:numPr>
          <w:ilvl w:val="0"/>
          <w:numId w:val="1005"/>
        </w:numPr>
        <w:pStyle w:val="Compact"/>
      </w:pPr>
      <w:r>
        <w:t xml:space="preserve">Pencils: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are there enough? How can you incorporate it into snack time, transitions, or when passing out materials?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2022-12-14T22:25:45Z</dcterms:created>
  <dcterms:modified xsi:type="dcterms:W3CDTF">2022-12-14T22:25:45Z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gcFPWLoZWpd0BlJabKrTrB1g80z5rLGaBoMiylqxdSGlxQoB1pGiyrHi8UQ9zv/EJIiKyu0m7IGDCce6Lr52fA==</vt:lpwstr>
  </property>
</Properties>
</file>