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1-arreglos-y-rectángulos"/>
    <w:p>
      <w:pPr>
        <w:pStyle w:val="Heading1"/>
      </w:pPr>
      <w:r>
        <w:t xml:space="preserve">Lesson 11: Arreglos y rectángulos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2.OA.C.3, 2.OA.C.4</w:t>
            </w:r>
          </w:p>
        </w:tc>
      </w:tr>
      <w:tr>
        <w:tc>
          <w:tcPr/>
          <w:p>
            <w:pPr>
              <w:pStyle w:val="Compact"/>
              <w:jc w:val="left"/>
            </w:pPr>
            <w:r>
              <w:t xml:space="preserve">Building Towards</w:t>
            </w:r>
          </w:p>
        </w:tc>
        <w:tc>
          <w:tcPr/>
          <w:p>
            <w:pPr>
              <w:pStyle w:val="Compact"/>
              <w:jc w:val="left"/>
            </w:pPr>
            <w:r>
              <w:t xml:space="preserve">2.G.A.2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arrays using square tiles and partially-partitioned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Usemos fichas para hacer arreglos y rectángulos.</w:t>
      </w:r>
    </w:p>
    <w:bookmarkEnd w:id="25"/>
    <w:bookmarkStart w:id="26" w:name="lesson-purpose"/>
    <w:p>
      <w:pPr>
        <w:pStyle w:val="Heading3"/>
      </w:pPr>
      <w:r>
        <w:t xml:space="preserve">Lesson Purpose</w:t>
      </w:r>
    </w:p>
    <w:p>
      <w:pPr>
        <w:pStyle w:val="FirstParagraph"/>
      </w:pPr>
      <w:r>
        <w:t xml:space="preserve">The purpose of this lesson is for students to see that a rectangle partitioned into equal-size squares is composed of squares that are arranged in rows and columns.</w:t>
      </w:r>
    </w:p>
    <w:p>
      <w:pPr>
        <w:pStyle w:val="BodyText"/>
      </w:pPr>
      <w:r>
        <w:t xml:space="preserve">In an earlier unit, students composed larger shapes from composite shapes and partitioned rectangles to make halves, thirds, or fourths. Although they have experience with partitioning, the focus for this work is different. Students will not name the parts in terms of fractions, but they will attend to making equal-size squares.</w:t>
      </w:r>
    </w:p>
    <w:p>
      <w:pPr>
        <w:pStyle w:val="BodyText"/>
      </w:pPr>
      <w:r>
        <w:t xml:space="preserve">In this lesson, students partition rectangles into equal-size squares with support. They make the connection between an array of individual objects that don’t touch each other and a partitioned rectangle with individual squares that do touch each other. Students begin by arranging tiles to make an array, then push them together to make a rectangle. They recognize that the squares within the rectangle are arranged in rows and columns, and that the total number of squares within the rectangle can be represented by writing equations to show the sum of the number of squares in the rows or the number of squares in the columns (MP7). This work prepares students to learn about the area in grade 3.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 Activity 2</w:t>
      </w:r>
    </w:p>
    <w:p>
      <w:pPr>
        <w:numPr>
          <w:ilvl w:val="0"/>
          <w:numId w:val="1005"/>
        </w:numPr>
        <w:pStyle w:val="Compact"/>
      </w:pPr>
      <w:r>
        <w:t xml:space="preserve">Inch tiles: Activity 1</w:t>
      </w:r>
    </w:p>
    <w:p>
      <w:pPr>
        <w:numPr>
          <w:ilvl w:val="0"/>
          <w:numId w:val="1005"/>
        </w:numPr>
        <w:pStyle w:val="Compact"/>
      </w:pPr>
      <w:r>
        <w:t xml:space="preserve">Rulers: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can you support students as they partition rectangles to get as close to equal-size squares as possible and developmentally appropriate? What tools can you offer to help guide them?</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Parte rectángulos en cuadrados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bl>
    <w:bookmarkEnd w:id="44"/>
    <w:bookmarkStart w:id="48" w:name="student-facing-task-statement"/>
    <w:p>
      <w:pPr>
        <w:pStyle w:val="Heading3"/>
      </w:pPr>
      <w:r>
        <w:t xml:space="preserve">Student-facing Task Statement</w:t>
      </w:r>
    </w:p>
    <w:p>
      <w:pPr>
        <w:numPr>
          <w:ilvl w:val="0"/>
          <w:numId w:val="1006"/>
        </w:numPr>
      </w:pPr>
      <w:r>
        <w:t xml:space="preserve">Dibuja varias líneas para que el rectángulo quede completamente lleno de cuadrados de igual tamaño.</w:t>
      </w:r>
    </w:p>
    <w:p>
      <w:pPr>
        <w:numPr>
          <w:ilvl w:val="0"/>
          <w:numId w:val="1000"/>
        </w:numPr>
        <w:pStyle w:val="Compact"/>
      </w:pPr>
      <w:r>
        <w:drawing>
          <wp:inline>
            <wp:extent cx="1485900" cy="1074422"/>
            <wp:effectExtent b="0" l="0" r="0" t="0"/>
            <wp:docPr descr="" title="" id="46" name="Picture"/>
            <a:graphic>
              <a:graphicData uri="http://schemas.openxmlformats.org/drawingml/2006/picture">
                <pic:pic>
                  <pic:nvPicPr>
                    <pic:cNvPr descr="/app/tmp/embedder-1671060881.20526.png" id="47" name="Picture"/>
                    <pic:cNvPicPr>
                      <a:picLocks noChangeArrowheads="1" noChangeAspect="1"/>
                    </pic:cNvPicPr>
                  </pic:nvPicPr>
                  <pic:blipFill>
                    <a:blip r:embed="rId45"/>
                    <a:stretch>
                      <a:fillRect/>
                    </a:stretch>
                  </pic:blipFill>
                  <pic:spPr bwMode="auto">
                    <a:xfrm>
                      <a:off x="0" y="0"/>
                      <a:ext cx="1485900" cy="1074422"/>
                    </a:xfrm>
                    <a:prstGeom prst="rect">
                      <a:avLst/>
                    </a:prstGeom>
                    <a:noFill/>
                    <a:ln w="9525">
                      <a:noFill/>
                      <a:headEnd/>
                      <a:tailEnd/>
                    </a:ln>
                  </pic:spPr>
                </pic:pic>
              </a:graphicData>
            </a:graphic>
          </wp:inline>
        </w:drawing>
      </w:r>
    </w:p>
    <w:p>
      <w:pPr>
        <w:numPr>
          <w:ilvl w:val="0"/>
          <w:numId w:val="1006"/>
        </w:numPr>
        <w:pStyle w:val="Compact"/>
      </w:pPr>
      <w:r>
        <w:t xml:space="preserve">Escribe 2 ecuaciones que representen el número de cuadrados de igual tamaño que hay en el rectángulo.</w:t>
      </w:r>
    </w:p>
    <w:bookmarkEnd w:id="48"/>
    <w:bookmarkStart w:id="52" w:name="student-responses"/>
    <w:p>
      <w:pPr>
        <w:pStyle w:val="Heading3"/>
      </w:pPr>
      <w:r>
        <w:t xml:space="preserve">Student Responses</w:t>
      </w:r>
    </w:p>
    <w:p>
      <w:pPr>
        <w:numPr>
          <w:ilvl w:val="0"/>
          <w:numId w:val="1007"/>
        </w:numPr>
        <w:pStyle w:val="Compact"/>
      </w:pPr>
      <w:r>
        <w:drawing>
          <wp:inline>
            <wp:extent cx="1485900" cy="1074422"/>
            <wp:effectExtent b="0" l="0" r="0" t="0"/>
            <wp:docPr descr="" title="" id="50" name="Picture"/>
            <a:graphic>
              <a:graphicData uri="http://schemas.openxmlformats.org/drawingml/2006/picture">
                <pic:pic>
                  <pic:nvPicPr>
                    <pic:cNvPr descr="/app/tmp/embedder-1671060881.3400137.png" id="51" name="Picture"/>
                    <pic:cNvPicPr>
                      <a:picLocks noChangeArrowheads="1" noChangeAspect="1"/>
                    </pic:cNvPicPr>
                  </pic:nvPicPr>
                  <pic:blipFill>
                    <a:blip r:embed="rId49"/>
                    <a:stretch>
                      <a:fillRect/>
                    </a:stretch>
                  </pic:blipFill>
                  <pic:spPr bwMode="auto">
                    <a:xfrm>
                      <a:off x="0" y="0"/>
                      <a:ext cx="1485900" cy="1074422"/>
                    </a:xfrm>
                    <a:prstGeom prst="rect">
                      <a:avLst/>
                    </a:prstGeom>
                    <a:noFill/>
                    <a:ln w="9525">
                      <a:noFill/>
                      <a:headEnd/>
                      <a:tailEnd/>
                    </a:ln>
                  </pic:spPr>
                </pic:pic>
              </a:graphicData>
            </a:graphic>
          </wp:inline>
        </w:drawing>
      </w:r>
    </w:p>
    <w:p>
      <w:pPr>
        <w:numPr>
          <w:ilvl w:val="0"/>
          <w:numId w:val="1007"/>
        </w:numPr>
      </w:pPr>
      <m:oMath>
        <m:r>
          <m:t>4</m:t>
        </m:r>
        <m:r>
          <m:rPr>
            <m:sty m:val="p"/>
          </m:rPr>
          <m:t>+</m:t>
        </m:r>
        <m:r>
          <m:t>4</m:t>
        </m:r>
        <m:r>
          <m:rPr>
            <m:sty m:val="p"/>
          </m:rPr>
          <m:t>+</m:t>
        </m:r>
        <m:r>
          <m:t>4</m:t>
        </m:r>
        <m:r>
          <m:rPr>
            <m:sty m:val="p"/>
          </m:rPr>
          <m:t>+</m:t>
        </m:r>
        <m:r>
          <m:t>4</m:t>
        </m:r>
        <m:r>
          <m:rPr>
            <m:sty m:val="p"/>
          </m:rPr>
          <m:t>+</m:t>
        </m:r>
        <m:r>
          <m:t>4</m:t>
        </m:r>
        <m:r>
          <m:rPr>
            <m:sty m:val="p"/>
          </m:rPr>
          <m:t>=</m:t>
        </m:r>
        <m:r>
          <m:t>20</m:t>
        </m:r>
      </m:oMath>
    </w:p>
    <w:p>
      <w:pPr>
        <w:numPr>
          <w:ilvl w:val="0"/>
          <w:numId w:val="1000"/>
        </w:numPr>
      </w:pPr>
      <m:oMath>
        <m:r>
          <m:t>5</m:t>
        </m:r>
        <m:r>
          <m:rPr>
            <m:sty m:val="p"/>
          </m:rPr>
          <m:t>+</m:t>
        </m:r>
        <m:r>
          <m:t>5</m:t>
        </m:r>
        <m:r>
          <m:rPr>
            <m:sty m:val="p"/>
          </m:rPr>
          <m:t>+</m:t>
        </m:r>
        <m:r>
          <m:t>5</m:t>
        </m:r>
        <m:r>
          <m:rPr>
            <m:sty m:val="p"/>
          </m:rPr>
          <m:t>+</m:t>
        </m:r>
        <m:r>
          <m:t>5</m:t>
        </m:r>
        <m:r>
          <m:rPr>
            <m:sty m:val="p"/>
          </m:rPr>
          <m:t>=</m:t>
        </m:r>
        <m:r>
          <m:t>20</m:t>
        </m:r>
      </m:oMath>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2022-12-14T23:34:42Z</dcterms:created>
  <dcterms:modified xsi:type="dcterms:W3CDTF">2022-12-14T23:34:42Z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s/1NIpaHFu+317PA9FK7HWrm6IV8Es00CZxhVahUkyuX+Qh7+g/usnIzEN6lNpd1Uw6RA2iYkC+MFoQl3FuQdg==</vt:lpwstr>
  </property>
</Properties>
</file>