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X50206f62b4403c0e48997a09d130ac072a1f0f4"/>
    <w:p>
      <w:pPr>
        <w:pStyle w:val="Heading1"/>
      </w:pPr>
      <w:r>
        <w:t xml:space="preserve">Lesson 12: Conectemos cantidades con números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 K.CC.A.3, K.CC.B.4, K.CC.B.5</w:t>
            </w:r>
          </w:p>
        </w:tc>
      </w:tr>
      <w:tr>
        <w:tc>
          <w:tcPr/>
          <w:p>
            <w:pPr>
              <w:pStyle w:val="Compact"/>
              <w:jc w:val="left"/>
            </w:pPr>
            <w:r>
              <w:t xml:space="preserve">Building Towards</w:t>
            </w:r>
          </w:p>
        </w:tc>
        <w:tc>
          <w:tcPr/>
          <w:p>
            <w:pPr>
              <w:pStyle w:val="Compact"/>
              <w:jc w:val="left"/>
            </w:pPr>
            <w:r>
              <w:t xml:space="preserve">K.CC.A.3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Match spoken and written numbers and groups of objects.</w:t>
      </w:r>
    </w:p>
    <w:bookmarkEnd w:id="24"/>
    <w:bookmarkStart w:id="25" w:name="student-facing-learning-goals"/>
    <w:p>
      <w:pPr>
        <w:pStyle w:val="Heading3"/>
      </w:pPr>
      <w:r>
        <w:t xml:space="preserve">Student-facing Learning Goals</w:t>
      </w:r>
    </w:p>
    <w:p>
      <w:pPr>
        <w:numPr>
          <w:ilvl w:val="0"/>
          <w:numId w:val="1002"/>
        </w:numPr>
        <w:pStyle w:val="Compact"/>
      </w:pPr>
      <w:r>
        <w:t xml:space="preserve">Descubramos cuáles grupos de objetos van con cuáles números.</w:t>
      </w:r>
    </w:p>
    <w:bookmarkEnd w:id="25"/>
    <w:bookmarkStart w:id="26" w:name="lesson-purpose"/>
    <w:p>
      <w:pPr>
        <w:pStyle w:val="Heading3"/>
      </w:pPr>
      <w:r>
        <w:t xml:space="preserve">Lesson Purpose</w:t>
      </w:r>
    </w:p>
    <w:p>
      <w:pPr>
        <w:pStyle w:val="FirstParagraph"/>
      </w:pPr>
      <w:r>
        <w:t xml:space="preserve">The purpose of this lesson is for students to connect quantities to written and spoken numbers.</w:t>
      </w:r>
    </w:p>
    <w:p>
      <w:pPr>
        <w:pStyle w:val="BodyText"/>
      </w:pPr>
      <w:r>
        <w:t xml:space="preserve">In previous sections, students connected quantities to spoken number words. In this lesson, students connect groups of objects to written and spoken numbers. A reference sheet is provided for students who do not yet recognize all of the written numbers. Students can determine how many dots there are to figure out which number it is.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materials-to-gather"/>
    <w:p>
      <w:pPr>
        <w:pStyle w:val="Heading3"/>
      </w:pPr>
      <w:r>
        <w:t xml:space="preserve">Materials to Gather</w:t>
      </w:r>
    </w:p>
    <w:p>
      <w:pPr>
        <w:numPr>
          <w:ilvl w:val="0"/>
          <w:numId w:val="1005"/>
        </w:numPr>
        <w:pStyle w:val="Compact"/>
      </w:pPr>
      <w:r>
        <w:t xml:space="preserve">Bags (brown paper): Activity 1, Activity 2</w:t>
      </w:r>
    </w:p>
    <w:p>
      <w:pPr>
        <w:numPr>
          <w:ilvl w:val="0"/>
          <w:numId w:val="1005"/>
        </w:numPr>
        <w:pStyle w:val="Compact"/>
      </w:pPr>
      <w:r>
        <w:t xml:space="preserve">Collections of objects: Activity 1, Activity 2</w:t>
      </w:r>
    </w:p>
    <w:p>
      <w:pPr>
        <w:numPr>
          <w:ilvl w:val="0"/>
          <w:numId w:val="1005"/>
        </w:numPr>
        <w:pStyle w:val="Compact"/>
      </w:pPr>
      <w:r>
        <w:t xml:space="preserve">Colored pencils, crayons, or markers: Activity 3</w:t>
      </w:r>
    </w:p>
    <w:p>
      <w:pPr>
        <w:numPr>
          <w:ilvl w:val="0"/>
          <w:numId w:val="1005"/>
        </w:numPr>
        <w:pStyle w:val="Compact"/>
      </w:pPr>
      <w:r>
        <w:t xml:space="preserve">Connecting cubes: Activity 3</w:t>
      </w:r>
    </w:p>
    <w:p>
      <w:pPr>
        <w:numPr>
          <w:ilvl w:val="0"/>
          <w:numId w:val="1005"/>
        </w:numPr>
        <w:pStyle w:val="Compact"/>
      </w:pPr>
      <w:r>
        <w:t xml:space="preserve">Materials from previous centers: Activity 3</w:t>
      </w:r>
    </w:p>
    <w:bookmarkEnd w:id="37"/>
    <w:bookmarkStart w:id="38" w:name="materials-to-copy"/>
    <w:p>
      <w:pPr>
        <w:pStyle w:val="Heading3"/>
      </w:pPr>
      <w:r>
        <w:t xml:space="preserve">Materials to Copy</w:t>
      </w:r>
    </w:p>
    <w:p>
      <w:pPr>
        <w:numPr>
          <w:ilvl w:val="0"/>
          <w:numId w:val="1006"/>
        </w:numPr>
        <w:pStyle w:val="Compact"/>
      </w:pPr>
      <w:r>
        <w:t xml:space="preserve">Reference Sheet Numbers (1–10) with 5-Frames (groups of 2): Activity 2</w:t>
      </w:r>
    </w:p>
    <w:p>
      <w:pPr>
        <w:numPr>
          <w:ilvl w:val="0"/>
          <w:numId w:val="1006"/>
        </w:numPr>
        <w:pStyle w:val="Compact"/>
      </w:pPr>
      <w:r>
        <w:t xml:space="preserve">Number Mat 1-10 (groups of 2): Activity 3</w:t>
      </w:r>
    </w:p>
    <w:p>
      <w:pPr>
        <w:numPr>
          <w:ilvl w:val="0"/>
          <w:numId w:val="1006"/>
        </w:numPr>
        <w:pStyle w:val="Compact"/>
      </w:pPr>
      <w:r>
        <w:t xml:space="preserve">Number Race Stage 1 Recording Sheet for Writing (groups of 1): Activity 3</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Which centers from this unit can be used to support students in building an understanding that the arrangement of objects does not change the quantity?</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2, punto de chequeo de la sección C</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K.CC.B.4</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Match groups of objects or images to the spoken number word that tells how many.</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2022-12-14T22:29:58Z</dcterms:created>
  <dcterms:modified xsi:type="dcterms:W3CDTF">2022-12-14T22:29:58Z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Q70uSGSEpze03LVWgSogl7es/Jjk4Hoy1NvO3U5jxSpnuWsRCAxfanE4FkjQTgz/jkSFHvBqJylRUSutOmzGdw==</vt:lpwstr>
  </property>
</Properties>
</file>