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274156e1bd636e553282dd8c7c72f3503cdf0"/>
    <w:p>
      <w:pPr>
        <w:pStyle w:val="Heading2"/>
      </w:pPr>
      <w:r>
        <w:t xml:space="preserve">Unit 7 Lesson 16: Representemos el salón con figuras</w:t>
      </w:r>
    </w:p>
    <w:bookmarkEnd w:id="20"/>
    <w:bookmarkStart w:id="22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hagamos-un-modelo-del-salón"/>
    <w:p>
      <w:pPr>
        <w:pStyle w:val="Heading3"/>
      </w:pPr>
      <w:r>
        <w:t xml:space="preserve">1 Hagamos un modelo del salón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X5ddc8e7a57adbf32a88cff96963197a8637a296"/>
    <w:p>
      <w:pPr>
        <w:pStyle w:val="Heading3"/>
      </w:pPr>
      <w:r>
        <w:t xml:space="preserve">2 Agreguemos cosas o cambiemos el modelo del salón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049.64127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49.66335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58049.70974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58049.73441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8049.9218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2022-12-14T22:47:30Z</dcterms:created>
  <dcterms:modified xsi:type="dcterms:W3CDTF">2022-12-14T22:47:30Z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d/Opuqq09QiTZ0hPV96UA4Y/C2G98u4ceTIKq5qLsCZT9+zjxjwNVVaD61EGurhrv9dy56l4swf8uO/b7oSzew==</vt:lpwstr>
  </property>
</Properties>
</file>