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contemos-objetos-separando"/>
    <w:p>
      <w:pPr>
        <w:pStyle w:val="Heading1"/>
      </w:pPr>
      <w:r>
        <w:t xml:space="preserve">Lesson 14: Contemos objetos separando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a written number, count out a group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cuántos ingredientes necesitamos poner en nuestra pizza.</w:t>
      </w:r>
    </w:p>
    <w:bookmarkEnd w:id="25"/>
    <w:bookmarkStart w:id="26" w:name="lesson-purpose"/>
    <w:p>
      <w:pPr>
        <w:pStyle w:val="Heading3"/>
      </w:pPr>
      <w:r>
        <w:t xml:space="preserve">Lesson Purpose</w:t>
      </w:r>
    </w:p>
    <w:p>
      <w:pPr>
        <w:pStyle w:val="FirstParagraph"/>
      </w:pPr>
      <w:r>
        <w:t xml:space="preserve">The purpose of this lesson is for students to count out a given number of objects.</w:t>
      </w:r>
    </w:p>
    <w:p>
      <w:pPr>
        <w:pStyle w:val="BodyText"/>
      </w:pPr>
      <w:r>
        <w:t xml:space="preserve">Counting out objects requires students to remember which number they need to stop at while also matching each object with one number. In this lesson, students create multiple groups with the same number of objects that match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Connecting cubes: Activity 2</w:t>
      </w:r>
    </w:p>
    <w:p>
      <w:pPr>
        <w:numPr>
          <w:ilvl w:val="0"/>
          <w:numId w:val="1005"/>
        </w:numPr>
        <w:pStyle w:val="Compact"/>
      </w:pPr>
      <w:r>
        <w:t xml:space="preserve">Counters: Activity 1, Activity 2</w:t>
      </w:r>
    </w:p>
    <w:p>
      <w:pPr>
        <w:numPr>
          <w:ilvl w:val="0"/>
          <w:numId w:val="1005"/>
        </w:numPr>
        <w:pStyle w:val="Compact"/>
      </w:pPr>
      <w:r>
        <w:t xml:space="preserve">Counters: Activity 3</w:t>
      </w:r>
    </w:p>
    <w:p>
      <w:pPr>
        <w:numPr>
          <w:ilvl w:val="0"/>
          <w:numId w:val="1005"/>
        </w:numPr>
        <w:pStyle w:val="Compact"/>
      </w:pPr>
      <w:r>
        <w:t xml:space="preserve">Geoblocks: Activity 2</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p>
      <w:pPr>
        <w:numPr>
          <w:ilvl w:val="0"/>
          <w:numId w:val="1005"/>
        </w:numPr>
        <w:pStyle w:val="Compact"/>
      </w:pPr>
      <w:r>
        <w:t xml:space="preserve">Pattern blocks: Activity 2</w:t>
      </w:r>
    </w:p>
    <w:bookmarkEnd w:id="37"/>
    <w:bookmarkStart w:id="38" w:name="materials-to-copy"/>
    <w:p>
      <w:pPr>
        <w:pStyle w:val="Heading3"/>
      </w:pPr>
      <w:r>
        <w:t xml:space="preserve">Materials to Copy</w:t>
      </w:r>
    </w:p>
    <w:p>
      <w:pPr>
        <w:numPr>
          <w:ilvl w:val="0"/>
          <w:numId w:val="1006"/>
        </w:numPr>
        <w:pStyle w:val="Compact"/>
      </w:pPr>
      <w:r>
        <w:t xml:space="preserve">Number Cards (0-10) (groups of 2): Activity 1</w:t>
      </w:r>
    </w:p>
    <w:p>
      <w:pPr>
        <w:numPr>
          <w:ilvl w:val="0"/>
          <w:numId w:val="1006"/>
        </w:numPr>
        <w:pStyle w:val="Compact"/>
      </w:pPr>
      <w:r>
        <w:t xml:space="preserve">Reference Sheet Numbers (1–10) with 5-Frames (groups of 2): Activity 1</w:t>
      </w:r>
    </w:p>
    <w:p>
      <w:pPr>
        <w:numPr>
          <w:ilvl w:val="0"/>
          <w:numId w:val="1006"/>
        </w:numPr>
        <w:pStyle w:val="Compact"/>
      </w:pPr>
      <w:r>
        <w:t xml:space="preserve">Reference Sheet Numbers (1–10) with 5-Frames (groups of 2): Activity 2</w:t>
      </w:r>
    </w:p>
    <w:p>
      <w:pPr>
        <w:numPr>
          <w:ilvl w:val="0"/>
          <w:numId w:val="1006"/>
        </w:numPr>
        <w:pStyle w:val="Compact"/>
      </w:pPr>
      <w:r>
        <w:t xml:space="preserve">Bingo Stages 1-3 Gameboard (groups of 4):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lesson, students draw groups of images to represent numbers. What did you learn about each student in today’s activities that is helpful in planning for the counting activity tomorrow?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out 1–10 objects or draw 1-10 images to match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2022-12-14T22:30:01Z</dcterms:created>
  <dcterms:modified xsi:type="dcterms:W3CDTF">2022-12-14T22:30:01Z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mazGObJbI5hHPxSpNzl6iI6OD8KF1TCyd/lcfbjhKV+9qINg3tPbxYLbt7dmXVbgt2Z2RJFfbanyc7kNzO4qAg==</vt:lpwstr>
  </property>
</Properties>
</file>