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52.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7" w:name="lesson-6-different-square-units-part-1"/>
    <w:p>
      <w:pPr>
        <w:pStyle w:val="Heading1"/>
      </w:pPr>
      <w:r>
        <w:t xml:space="preserve">Lesson 6: Different Square Units (Part 1)</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square units based on different linear units of measurement.</w:t>
      </w:r>
    </w:p>
    <w:p>
      <w:pPr>
        <w:numPr>
          <w:ilvl w:val="0"/>
          <w:numId w:val="1001"/>
        </w:numPr>
        <w:pStyle w:val="Compact"/>
      </w:pPr>
      <w:r>
        <w:t xml:space="preserve">Use square inches and square centimeters to measure the area of a rectangle.</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different units we can use to measure area.</w:t>
      </w:r>
    </w:p>
    <w:bookmarkEnd w:id="25"/>
    <w:bookmarkStart w:id="26" w:name="lesson-purpose"/>
    <w:p>
      <w:pPr>
        <w:pStyle w:val="Heading3"/>
      </w:pPr>
      <w:r>
        <w:t xml:space="preserve">Lesson Purpose</w:t>
      </w:r>
    </w:p>
    <w:p>
      <w:pPr>
        <w:pStyle w:val="FirstParagraph"/>
      </w:pPr>
      <w:r>
        <w:t xml:space="preserve">The purpose of this lesson is for students to learn that there are different units that can be used to measure area, specifically</w:t>
      </w:r>
      <w:r>
        <w:t xml:space="preserve"> </w:t>
      </w:r>
      <w:r>
        <w:rPr>
          <w:bCs/>
          <w:b/>
        </w:rPr>
        <w:t xml:space="preserve">square centimeters</w:t>
      </w:r>
      <w:r>
        <w:t xml:space="preserve"> </w:t>
      </w:r>
      <w:r>
        <w:t xml:space="preserve">and</w:t>
      </w:r>
      <w:r>
        <w:t xml:space="preserve"> </w:t>
      </w:r>
      <w:r>
        <w:rPr>
          <w:bCs/>
          <w:b/>
        </w:rPr>
        <w:t xml:space="preserve">square inches</w:t>
      </w:r>
      <w:r>
        <w:t xml:space="preserve">.</w:t>
      </w:r>
    </w:p>
    <w:p>
      <w:pPr>
        <w:pStyle w:val="BodyText"/>
      </w:pPr>
      <w:r>
        <w:t xml:space="preserve">In previous lessons, students learned the meaning of area and measured area in square units. In this lesson, students work with standard units of area, based on linear measurement units they worked with in grade 2. Students consider the difference in size between the same amount of square inches and square centimeters, then they measure the area of a rectangle with both square inches and square centimeters.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MLR2 Collect and Display (Activity 2), Notice and Wonder (Warm-up)</w:t>
      </w:r>
    </w:p>
    <w:bookmarkEnd w:id="36"/>
    <w:bookmarkStart w:id="37" w:name="materials-to-gather"/>
    <w:p>
      <w:pPr>
        <w:pStyle w:val="Heading3"/>
      </w:pPr>
      <w:r>
        <w:t xml:space="preserve">Materials to Gather</w:t>
      </w:r>
    </w:p>
    <w:p>
      <w:pPr>
        <w:numPr>
          <w:ilvl w:val="0"/>
          <w:numId w:val="1005"/>
        </w:numPr>
        <w:pStyle w:val="Compact"/>
      </w:pPr>
      <w:r>
        <w:t xml:space="preserve">Patty paper: Activity 2</w:t>
      </w:r>
    </w:p>
    <w:p>
      <w:pPr>
        <w:numPr>
          <w:ilvl w:val="0"/>
          <w:numId w:val="1005"/>
        </w:numPr>
        <w:pStyle w:val="Compact"/>
      </w:pPr>
      <w:r>
        <w:t xml:space="preserve">Rulers (whole units): Activity 1</w:t>
      </w:r>
    </w:p>
    <w:p>
      <w:pPr>
        <w:numPr>
          <w:ilvl w:val="0"/>
          <w:numId w:val="1005"/>
        </w:numPr>
        <w:pStyle w:val="Compact"/>
      </w:pPr>
      <w:r>
        <w:t xml:space="preserve">Scissors: Activity 2</w:t>
      </w:r>
    </w:p>
    <w:bookmarkEnd w:id="37"/>
    <w:bookmarkStart w:id="38" w:name="materials-to-copy"/>
    <w:p>
      <w:pPr>
        <w:pStyle w:val="Heading3"/>
      </w:pPr>
      <w:r>
        <w:t xml:space="preserve">Materials to Copy</w:t>
      </w:r>
    </w:p>
    <w:p>
      <w:pPr>
        <w:numPr>
          <w:ilvl w:val="0"/>
          <w:numId w:val="1006"/>
        </w:numPr>
        <w:pStyle w:val="Compact"/>
      </w:pPr>
      <w:r>
        <w:t xml:space="preserve">Same Rectangle, Different Units (groups of 2): Activity 1</w:t>
      </w:r>
    </w:p>
    <w:p>
      <w:pPr>
        <w:numPr>
          <w:ilvl w:val="0"/>
          <w:numId w:val="1006"/>
        </w:numPr>
        <w:pStyle w:val="Compact"/>
      </w:pPr>
      <w:r>
        <w:t xml:space="preserve">Same Rectangle, Different Units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Which Square?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3.MD.C.6</w:t>
            </w:r>
          </w:p>
        </w:tc>
      </w:tr>
    </w:tbl>
    <w:bookmarkEnd w:id="45"/>
    <w:bookmarkStart w:id="55" w:name="student-facing-task-statement"/>
    <w:p>
      <w:pPr>
        <w:pStyle w:val="Heading3"/>
      </w:pPr>
      <w:r>
        <w:t xml:space="preserve">Student-facing Task Statement</w:t>
      </w:r>
    </w:p>
    <w:p>
      <w:pPr>
        <w:pStyle w:val="FirstParagraph"/>
      </w:pPr>
      <w:r>
        <w:t xml:space="preserve">Here is a rectangle.</w:t>
      </w:r>
    </w:p>
    <w:p>
      <w:pPr>
        <w:pStyle w:val="BodyText"/>
      </w:pPr>
      <w:r>
        <w:drawing>
          <wp:inline>
            <wp:extent cx="1920239" cy="1097290"/>
            <wp:effectExtent b="0" l="0" r="0" t="0"/>
            <wp:docPr descr="A rectangle." title="" id="47" name="Picture"/>
            <a:graphic>
              <a:graphicData uri="http://schemas.openxmlformats.org/drawingml/2006/picture">
                <pic:pic>
                  <pic:nvPicPr>
                    <pic:cNvPr descr="/app/tmp/embedder-1671020144.5962276.png" id="48" name="Picture"/>
                    <pic:cNvPicPr>
                      <a:picLocks noChangeArrowheads="1" noChangeAspect="1"/>
                    </pic:cNvPicPr>
                  </pic:nvPicPr>
                  <pic:blipFill>
                    <a:blip r:embed="rId46"/>
                    <a:stretch>
                      <a:fillRect/>
                    </a:stretch>
                  </pic:blipFill>
                  <pic:spPr bwMode="auto">
                    <a:xfrm>
                      <a:off x="0" y="0"/>
                      <a:ext cx="1920239" cy="1097290"/>
                    </a:xfrm>
                    <a:prstGeom prst="rect">
                      <a:avLst/>
                    </a:prstGeom>
                    <a:noFill/>
                    <a:ln w="9525">
                      <a:noFill/>
                      <a:headEnd/>
                      <a:tailEnd/>
                    </a:ln>
                  </pic:spPr>
                </pic:pic>
              </a:graphicData>
            </a:graphic>
          </wp:inline>
        </w:drawing>
      </w:r>
    </w:p>
    <w:p>
      <w:pPr>
        <w:pStyle w:val="BodyText"/>
      </w:pPr>
      <w:r>
        <w:t xml:space="preserve">Here are 2 different squares you could use to tile.</w:t>
      </w:r>
    </w:p>
    <w:p>
      <w:pPr>
        <w:pStyle w:val="BodyText"/>
      </w:pPr>
      <w:r>
        <w:t xml:space="preserve">A</w:t>
      </w:r>
      <w:r>
        <w:drawing>
          <wp:inline>
            <wp:extent cx="1920239" cy="1097290"/>
            <wp:effectExtent b="0" l="0" r="0" t="0"/>
            <wp:docPr descr="Unit square. Labeled 1 square inch." title="" id="50" name="Picture"/>
            <a:graphic>
              <a:graphicData uri="http://schemas.openxmlformats.org/drawingml/2006/picture">
                <pic:pic>
                  <pic:nvPicPr>
                    <pic:cNvPr descr="/app/tmp/embedder-1671020144.6412237.png" id="51" name="Picture"/>
                    <pic:cNvPicPr>
                      <a:picLocks noChangeArrowheads="1" noChangeAspect="1"/>
                    </pic:cNvPicPr>
                  </pic:nvPicPr>
                  <pic:blipFill>
                    <a:blip r:embed="rId49"/>
                    <a:stretch>
                      <a:fillRect/>
                    </a:stretch>
                  </pic:blipFill>
                  <pic:spPr bwMode="auto">
                    <a:xfrm>
                      <a:off x="0" y="0"/>
                      <a:ext cx="1920239" cy="1097290"/>
                    </a:xfrm>
                    <a:prstGeom prst="rect">
                      <a:avLst/>
                    </a:prstGeom>
                    <a:noFill/>
                    <a:ln w="9525">
                      <a:noFill/>
                      <a:headEnd/>
                      <a:tailEnd/>
                    </a:ln>
                  </pic:spPr>
                </pic:pic>
              </a:graphicData>
            </a:graphic>
          </wp:inline>
        </w:drawing>
      </w:r>
    </w:p>
    <w:p>
      <w:pPr>
        <w:pStyle w:val="BodyText"/>
      </w:pPr>
      <w:r>
        <w:t xml:space="preserve">B</w:t>
      </w:r>
      <w:r>
        <w:drawing>
          <wp:inline>
            <wp:extent cx="1920239" cy="1097290"/>
            <wp:effectExtent b="0" l="0" r="0" t="0"/>
            <wp:docPr descr="Unit square. Labeled 1 square centimeter. " title="" id="53" name="Picture"/>
            <a:graphic>
              <a:graphicData uri="http://schemas.openxmlformats.org/drawingml/2006/picture">
                <pic:pic>
                  <pic:nvPicPr>
                    <pic:cNvPr descr="/app/tmp/embedder-1671020144.725505.png" id="54" name="Picture"/>
                    <pic:cNvPicPr>
                      <a:picLocks noChangeArrowheads="1" noChangeAspect="1"/>
                    </pic:cNvPicPr>
                  </pic:nvPicPr>
                  <pic:blipFill>
                    <a:blip r:embed="rId52"/>
                    <a:stretch>
                      <a:fillRect/>
                    </a:stretch>
                  </pic:blipFill>
                  <pic:spPr bwMode="auto">
                    <a:xfrm>
                      <a:off x="0" y="0"/>
                      <a:ext cx="1920239" cy="1097290"/>
                    </a:xfrm>
                    <a:prstGeom prst="rect">
                      <a:avLst/>
                    </a:prstGeom>
                    <a:noFill/>
                    <a:ln w="9525">
                      <a:noFill/>
                      <a:headEnd/>
                      <a:tailEnd/>
                    </a:ln>
                  </pic:spPr>
                </pic:pic>
              </a:graphicData>
            </a:graphic>
          </wp:inline>
        </w:drawing>
      </w:r>
    </w:p>
    <w:p>
      <w:pPr>
        <w:pStyle w:val="BodyText"/>
      </w:pPr>
      <w:r>
        <w:t xml:space="preserve">Which square would allow you to tile the rectangle with the fewest number of squares? Explain your reasoning.</w:t>
      </w:r>
    </w:p>
    <w:bookmarkEnd w:id="55"/>
    <w:bookmarkStart w:id="56" w:name="student-responses"/>
    <w:p>
      <w:pPr>
        <w:pStyle w:val="Heading3"/>
      </w:pPr>
      <w:r>
        <w:t xml:space="preserve">Student Responses</w:t>
      </w:r>
    </w:p>
    <w:p>
      <w:pPr>
        <w:pStyle w:val="FirstParagraph"/>
      </w:pPr>
      <w:r>
        <w:t xml:space="preserve">Sample response: A, because it’s larger than B, so it wouldn’t take as many squares to fill the rectangle as with B.</w:t>
      </w:r>
    </w:p>
    <w:bookmarkEnd w:id="56"/>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2022-12-14T12:15:45Z</dcterms:created>
  <dcterms:modified xsi:type="dcterms:W3CDTF">2022-12-14T12:15:45Z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1PCQsrJi0K8pjjpwXtM0MV8INdYPGaWN4gaH4jNsDyHw9NXr3uoo8uxqmW4PtxhZZuBMUBuT+JZnjGKSR2MMfA==</vt:lpwstr>
  </property>
</Properties>
</file>