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5.png" ContentType="image/png"/>
  <Override PartName="/word/media/rId22.png" ContentType="image/png"/>
  <Override PartName="/word/media/rId29.png" ContentType="image/png"/>
  <Override PartName="/word/media/rId3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0-subtracting-rational-numbers"/>
    <w:p>
      <w:pPr>
        <w:pStyle w:val="Heading2"/>
      </w:pPr>
      <w:r>
        <w:t xml:space="preserve">Lesson 10: Subtracting Rational Numbers</w:t>
      </w:r>
    </w:p>
    <w:bookmarkEnd w:id="20"/>
    <w:p>
      <w:pPr>
        <w:pStyle w:val="FirstParagraph"/>
      </w:pPr>
      <w:r>
        <w:t xml:space="preserve">Let's bring addition and subtraction together.</w:t>
      </w:r>
    </w:p>
    <w:bookmarkStart w:id="21" w:name="number-talk-missing-addend"/>
    <w:p>
      <w:pPr>
        <w:pStyle w:val="Heading3"/>
      </w:pPr>
      <w:r>
        <w:t xml:space="preserve">10.1: Number Talk: Missing Addend</w:t>
      </w:r>
    </w:p>
    <w:p>
      <w:pPr>
        <w:pStyle w:val="FirstParagraph"/>
      </w:pPr>
      <w:r>
        <w:t xml:space="preserve">Solve each equation mentally. Rewrite each addition equation as a subtraction equation.</w:t>
      </w:r>
    </w:p>
    <w:p>
      <w:pPr>
        <w:pStyle w:val="BodyText"/>
      </w:pPr>
      <m:oMath>
        <m:r>
          <m:t>247</m:t>
        </m:r>
        <m:r>
          <m:rPr>
            <m:sty m:val="p"/>
          </m:rPr>
          <m:t>+</m:t>
        </m:r>
        <m:r>
          <m:t>c</m:t>
        </m:r>
        <m:r>
          <m:rPr>
            <m:sty m:val="p"/>
          </m:rPr>
          <m:t>=</m:t>
        </m:r>
        <m:r>
          <m:t>458</m:t>
        </m:r>
      </m:oMath>
    </w:p>
    <w:p>
      <w:pPr>
        <w:pStyle w:val="BodyText"/>
      </w:pPr>
      <m:oMath>
        <m:r>
          <m:t>c</m:t>
        </m:r>
        <m:r>
          <m:rPr>
            <m:sty m:val="p"/>
          </m:rPr>
          <m:t>+</m:t>
        </m:r>
        <m:r>
          <m:t>43.87</m:t>
        </m:r>
        <m:r>
          <m:rPr>
            <m:sty m:val="p"/>
          </m:rPr>
          <m:t>=</m:t>
        </m:r>
        <m:r>
          <m:t>58.92</m:t>
        </m:r>
      </m:oMath>
    </w:p>
    <w:p>
      <w:pPr>
        <w:pStyle w:val="BodyText"/>
      </w:pPr>
      <m:oMath>
        <m:f>
          <m:fPr>
            <m:type m:val="bar"/>
          </m:fPr>
          <m:num>
            <m:r>
              <m:t>15</m:t>
            </m:r>
          </m:num>
          <m:den>
            <m:r>
              <m:t>8</m:t>
            </m:r>
          </m:den>
        </m:f>
        <m:r>
          <m:rPr>
            <m:sty m:val="p"/>
          </m:rPr>
          <m:t>+</m:t>
        </m:r>
        <m:r>
          <m:t>c</m:t>
        </m:r>
        <m:r>
          <m:rPr>
            <m:sty m:val="p"/>
          </m:rPr>
          <m:t>=</m:t>
        </m:r>
        <m:f>
          <m:fPr>
            <m:type m:val="bar"/>
          </m:fPr>
          <m:num>
            <m:r>
              <m:t>51</m:t>
            </m:r>
          </m:num>
          <m:den>
            <m:r>
              <m:t>8</m:t>
            </m:r>
          </m:den>
        </m:f>
      </m:oMath>
    </w:p>
    <w:bookmarkEnd w:id="21"/>
    <w:bookmarkStart w:id="26" w:name="expressions-with-altitude"/>
    <w:p>
      <w:pPr>
        <w:pStyle w:val="Heading3"/>
      </w:pPr>
      <w:r>
        <w:t xml:space="preserve">10.2: Expressions with Altitude</w:t>
      </w:r>
    </w:p>
    <w:p>
      <w:pPr>
        <w:pStyle w:val="FirstParagraph"/>
      </w:pPr>
      <w:r>
        <w:t xml:space="preserve">A mountaineer is changing elevations. Write an expression that represents the difference between the final elevation and beginning elevation. Then write the value of the change. The first one is done for you.</w:t>
      </w:r>
    </w:p>
    <w:tbl>
      <w:tblPr>
        <w:tblStyle w:val="Table"/>
        <w:tblW w:type="pct" w:w="500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beginning</w:t>
            </w:r>
            <w:r>
              <w:br/>
            </w:r>
            <w:r>
              <w:t xml:space="preserve">elevation</w:t>
            </w:r>
            <w:r>
              <w:br/>
            </w:r>
            <w:r>
              <w:t xml:space="preserve">(feet)</w:t>
            </w:r>
          </w:p>
        </w:tc>
        <w:tc>
          <w:tcPr/>
          <w:p>
            <w:pPr>
              <w:pStyle w:val="Compact"/>
              <w:jc w:val="left"/>
            </w:pPr>
            <w:r>
              <w:t xml:space="preserve">final</w:t>
            </w:r>
            <w:r>
              <w:br/>
            </w:r>
            <w:r>
              <w:t xml:space="preserve">elevation</w:t>
            </w:r>
            <w:r>
              <w:br/>
            </w:r>
            <w:r>
              <w:t xml:space="preserve">(feet)</w:t>
            </w:r>
          </w:p>
        </w:tc>
        <w:tc>
          <w:tcPr/>
          <w:p>
            <w:pPr>
              <w:pStyle w:val="Compact"/>
              <w:jc w:val="left"/>
            </w:pPr>
            <w:r>
              <w:t xml:space="preserve">difference</w:t>
            </w:r>
            <w:r>
              <w:br/>
            </w:r>
            <w:r>
              <w:t xml:space="preserve">between final</w:t>
            </w:r>
            <w:r>
              <w:br/>
            </w:r>
            <w:r>
              <w:t xml:space="preserve">  and beginning  </w:t>
            </w:r>
          </w:p>
        </w:tc>
        <w:tc>
          <w:tcPr/>
          <w:p>
            <w:pPr>
              <w:pStyle w:val="Compact"/>
              <w:jc w:val="left"/>
            </w:pPr>
            <w:r>
              <w:t xml:space="preserve">change</w:t>
            </w:r>
          </w:p>
        </w:tc>
      </w:tr>
      <w:tr>
        <w:tc>
          <w:tcPr/>
          <w:p>
            <w:pPr>
              <w:pStyle w:val="Compact"/>
              <w:jc w:val="left"/>
            </w:pPr>
            <w:r>
              <w:t xml:space="preserve">+400</w:t>
            </w:r>
          </w:p>
        </w:tc>
        <w:tc>
          <w:tcPr/>
          <w:p>
            <w:pPr>
              <w:pStyle w:val="Compact"/>
              <w:jc w:val="left"/>
            </w:pPr>
            <w:r>
              <w:t xml:space="preserve">+900</w:t>
            </w:r>
          </w:p>
        </w:tc>
        <w:tc>
          <w:tcPr/>
          <w:p>
            <w:pPr>
              <w:pStyle w:val="Compact"/>
              <w:jc w:val="left"/>
            </w:pPr>
            <m:oMath>
              <m:r>
                <m:t>900</m:t>
              </m:r>
              <m:r>
                <m:rPr>
                  <m:sty m:val="p"/>
                </m:rPr>
                <m:t>−</m:t>
              </m:r>
              <m:r>
                <m:t>400</m:t>
              </m:r>
            </m:oMath>
          </w:p>
        </w:tc>
        <w:tc>
          <w:tcPr/>
          <w:p>
            <w:pPr>
              <w:pStyle w:val="Compact"/>
              <w:jc w:val="left"/>
            </w:pPr>
            <w:r>
              <w:t xml:space="preserve">+500</w:t>
            </w:r>
          </w:p>
        </w:tc>
      </w:tr>
      <w:tr>
        <w:tc>
          <w:tcPr/>
          <w:p>
            <w:pPr>
              <w:pStyle w:val="Compact"/>
              <w:jc w:val="left"/>
            </w:pPr>
            <w:r>
              <w:t xml:space="preserve">+400</w:t>
            </w:r>
          </w:p>
        </w:tc>
        <w:tc>
          <w:tcPr/>
          <w:p>
            <w:pPr>
              <w:pStyle w:val="Compact"/>
              <w:jc w:val="left"/>
            </w:pPr>
            <w:r>
              <w:t xml:space="preserve">+50</w:t>
            </w:r>
          </w:p>
        </w:tc>
        <w:tc>
          <w:tcPr/>
          <w:p>
            <w:pPr>
              <w:pStyle w:val="Compact"/>
            </w:pPr>
          </w:p>
        </w:tc>
        <w:tc>
          <w:tcPr/>
          <w:p>
            <w:pPr>
              <w:pStyle w:val="Compact"/>
            </w:pPr>
          </w:p>
        </w:tc>
      </w:tr>
      <w:tr>
        <w:tc>
          <w:tcPr/>
          <w:p>
            <w:pPr>
              <w:pStyle w:val="Compact"/>
              <w:jc w:val="left"/>
            </w:pPr>
            <w:r>
              <w:t xml:space="preserve">+400</w:t>
            </w:r>
          </w:p>
        </w:tc>
        <w:tc>
          <w:tcPr/>
          <w:p>
            <w:pPr>
              <w:pStyle w:val="Compact"/>
              <w:jc w:val="left"/>
            </w:pPr>
            <w:r>
              <w:t xml:space="preserve">-120</w:t>
            </w:r>
          </w:p>
        </w:tc>
        <w:tc>
          <w:tcPr/>
          <w:p>
            <w:pPr>
              <w:pStyle w:val="Compact"/>
            </w:pPr>
          </w:p>
        </w:tc>
        <w:tc>
          <w:tcPr/>
          <w:p>
            <w:pPr>
              <w:pStyle w:val="Compact"/>
            </w:pPr>
          </w:p>
        </w:tc>
      </w:tr>
      <w:tr>
        <w:tc>
          <w:tcPr/>
          <w:p>
            <w:pPr>
              <w:pStyle w:val="Compact"/>
              <w:jc w:val="left"/>
            </w:pPr>
            <w:r>
              <w:t xml:space="preserve">-200</w:t>
            </w:r>
          </w:p>
        </w:tc>
        <w:tc>
          <w:tcPr/>
          <w:p>
            <w:pPr>
              <w:pStyle w:val="Compact"/>
              <w:jc w:val="left"/>
            </w:pPr>
            <w:r>
              <w:t xml:space="preserve">+610</w:t>
            </w:r>
          </w:p>
        </w:tc>
        <w:tc>
          <w:tcPr/>
          <w:p>
            <w:pPr>
              <w:pStyle w:val="Compact"/>
            </w:pPr>
          </w:p>
        </w:tc>
        <w:tc>
          <w:tcPr/>
          <w:p>
            <w:pPr>
              <w:pStyle w:val="Compact"/>
            </w:pPr>
          </w:p>
        </w:tc>
      </w:tr>
      <w:tr>
        <w:tc>
          <w:tcPr/>
          <w:p>
            <w:pPr>
              <w:pStyle w:val="Compact"/>
              <w:jc w:val="left"/>
            </w:pPr>
            <w:r>
              <w:t xml:space="preserve">-200</w:t>
            </w:r>
          </w:p>
        </w:tc>
        <w:tc>
          <w:tcPr/>
          <w:p>
            <w:pPr>
              <w:pStyle w:val="Compact"/>
              <w:jc w:val="left"/>
            </w:pPr>
            <w:r>
              <w:t xml:space="preserve">-50</w:t>
            </w:r>
          </w:p>
        </w:tc>
        <w:tc>
          <w:tcPr/>
          <w:p>
            <w:pPr>
              <w:pStyle w:val="Compact"/>
            </w:pPr>
          </w:p>
        </w:tc>
        <w:tc>
          <w:tcPr/>
          <w:p>
            <w:pPr>
              <w:pStyle w:val="Compact"/>
            </w:pPr>
          </w:p>
        </w:tc>
      </w:tr>
      <w:tr>
        <w:tc>
          <w:tcPr/>
          <w:p>
            <w:pPr>
              <w:pStyle w:val="Compact"/>
              <w:jc w:val="left"/>
            </w:pPr>
            <w:r>
              <w:t xml:space="preserve">-200</w:t>
            </w:r>
          </w:p>
        </w:tc>
        <w:tc>
          <w:tcPr/>
          <w:p>
            <w:pPr>
              <w:pStyle w:val="Compact"/>
              <w:jc w:val="left"/>
            </w:pPr>
            <w:r>
              <w:t xml:space="preserve">-500</w:t>
            </w:r>
          </w:p>
        </w:tc>
        <w:tc>
          <w:tcPr/>
          <w:p>
            <w:pPr>
              <w:pStyle w:val="Compact"/>
            </w:pPr>
          </w:p>
        </w:tc>
        <w:tc>
          <w:tcPr/>
          <w:p>
            <w:pPr>
              <w:pStyle w:val="Compact"/>
            </w:pPr>
          </w:p>
        </w:tc>
      </w:tr>
      <w:tr>
        <w:tc>
          <w:tcPr/>
          <w:p>
            <w:pPr>
              <w:pStyle w:val="Compact"/>
              <w:jc w:val="left"/>
            </w:pPr>
            <w:r>
              <w:t xml:space="preserve">-200</w:t>
            </w:r>
          </w:p>
        </w:tc>
        <w:tc>
          <w:tcPr/>
          <w:p>
            <w:pPr>
              <w:pStyle w:val="Compact"/>
              <w:jc w:val="left"/>
            </w:pPr>
            <w:r>
              <w:t xml:space="preserve">0</w:t>
            </w:r>
          </w:p>
        </w:tc>
        <w:tc>
          <w:tcPr/>
          <w:p>
            <w:pPr>
              <w:pStyle w:val="Compact"/>
            </w:pPr>
          </w:p>
        </w:tc>
        <w:tc>
          <w:tcPr/>
          <w:p>
            <w:pPr>
              <w:pStyle w:val="Compact"/>
            </w:pPr>
          </w:p>
        </w:tc>
      </w:tr>
    </w:tbl>
    <w:p>
      <w:pPr>
        <w:pStyle w:val="BodyText"/>
      </w:pPr>
      <w:r>
        <w:drawing>
          <wp:inline>
            <wp:extent cx="5943600" cy="8989552"/>
            <wp:effectExtent b="0" l="0" r="0" t="0"/>
            <wp:docPr descr="An image of a mountaineer climbing up a wall of ice. " title="" id="23" name="Picture"/>
            <a:graphic>
              <a:graphicData uri="http://schemas.openxmlformats.org/drawingml/2006/picture">
                <pic:pic>
                  <pic:nvPicPr>
                    <pic:cNvPr descr="/app/tmp/embedder-1671076315.1995914.png" id="24" name="Picture"/>
                    <pic:cNvPicPr>
                      <a:picLocks noChangeArrowheads="1" noChangeAspect="1"/>
                    </pic:cNvPicPr>
                  </pic:nvPicPr>
                  <pic:blipFill>
                    <a:blip r:embed="rId22"/>
                    <a:stretch>
                      <a:fillRect/>
                    </a:stretch>
                  </pic:blipFill>
                  <pic:spPr bwMode="auto">
                    <a:xfrm>
                      <a:off x="0" y="0"/>
                      <a:ext cx="5943600" cy="8989552"/>
                    </a:xfrm>
                    <a:prstGeom prst="rect">
                      <a:avLst/>
                    </a:prstGeom>
                    <a:noFill/>
                    <a:ln w="9525">
                      <a:noFill/>
                      <a:headEnd/>
                      <a:tailEnd/>
                    </a:ln>
                  </pic:spPr>
                </pic:pic>
              </a:graphicData>
            </a:graphic>
          </wp:inline>
        </w:drawing>
      </w:r>
    </w:p>
    <w:p>
      <w:pPr>
        <w:pStyle w:val="BodyText"/>
      </w:pPr>
      <w:r>
        <w:t xml:space="preserve"> </w:t>
      </w:r>
    </w:p>
    <w:bookmarkStart w:id="25" w:name="are-you-ready-for-more"/>
    <w:p>
      <w:pPr>
        <w:pStyle w:val="Heading4"/>
      </w:pPr>
      <w:r>
        <w:t xml:space="preserve">Are you ready for more?</w:t>
      </w:r>
    </w:p>
    <w:p>
      <w:pPr>
        <w:pStyle w:val="FirstParagraph"/>
      </w:pPr>
      <w:r>
        <w:t xml:space="preserve">Fill in the table so that every row and every column sums to 0. Can you find another way to solve this puzzle?</w:t>
      </w:r>
    </w:p>
    <w:tbl>
      <w:tblPr>
        <w:tblStyle w:val="Table"/>
        <w:tblW w:type="auto" w:w="0"/>
        <w:tblLook w:firstRow="0" w:lastRow="0" w:firstColumn="0" w:lastColumn="0" w:noHBand="0" w:noVBand="0" w:val="0000"/>
      </w:tblPr>
      <w:tblGrid>
        <w:gridCol w:w="1584"/>
        <w:gridCol w:w="1584"/>
        <w:gridCol w:w="1584"/>
        <w:gridCol w:w="1584"/>
        <w:gridCol w:w="1584"/>
      </w:tblGrid>
      <w:tr>
        <w:tc>
          <w:tcPr/>
          <w:p>
            <w:pPr>
              <w:pStyle w:val="Compact"/>
            </w:pPr>
          </w:p>
        </w:tc>
        <w:tc>
          <w:tcPr/>
          <w:p>
            <w:pPr>
              <w:pStyle w:val="Compact"/>
              <w:jc w:val="left"/>
            </w:pPr>
            <w:r>
              <w:t xml:space="preserve">-12</w:t>
            </w:r>
          </w:p>
        </w:tc>
        <w:tc>
          <w:tcPr/>
          <w:p>
            <w:pPr>
              <w:pStyle w:val="Compact"/>
              <w:jc w:val="left"/>
            </w:pPr>
            <w:r>
              <w:t xml:space="preserve">0</w:t>
            </w:r>
          </w:p>
        </w:tc>
        <w:tc>
          <w:tcPr/>
          <w:p>
            <w:pPr>
              <w:pStyle w:val="Compact"/>
            </w:pPr>
          </w:p>
        </w:tc>
        <w:tc>
          <w:tcPr/>
          <w:p>
            <w:pPr>
              <w:pStyle w:val="Compact"/>
              <w:jc w:val="left"/>
            </w:pPr>
            <w:r>
              <w:t xml:space="preserve">5</w:t>
            </w:r>
          </w:p>
        </w:tc>
      </w:tr>
      <w:tr>
        <w:tc>
          <w:tcPr/>
          <w:p>
            <w:pPr>
              <w:pStyle w:val="Compact"/>
              <w:jc w:val="left"/>
            </w:pPr>
            <w:r>
              <w:t xml:space="preserve">0</w:t>
            </w:r>
          </w:p>
        </w:tc>
        <w:tc>
          <w:tcPr/>
          <w:p>
            <w:pPr>
              <w:pStyle w:val="Compact"/>
            </w:pPr>
          </w:p>
        </w:tc>
        <w:tc>
          <w:tcPr/>
          <w:p>
            <w:pPr>
              <w:pStyle w:val="Compact"/>
            </w:pPr>
          </w:p>
        </w:tc>
        <w:tc>
          <w:tcPr/>
          <w:p>
            <w:pPr>
              <w:pStyle w:val="Compact"/>
              <w:jc w:val="left"/>
            </w:pPr>
            <w:r>
              <w:t xml:space="preserve">-18</w:t>
            </w:r>
          </w:p>
        </w:tc>
        <w:tc>
          <w:tcPr/>
          <w:p>
            <w:pPr>
              <w:pStyle w:val="Compact"/>
              <w:jc w:val="left"/>
            </w:pPr>
            <w:r>
              <w:t xml:space="preserve">25</w:t>
            </w:r>
          </w:p>
        </w:tc>
      </w:tr>
      <w:tr>
        <w:tc>
          <w:tcPr/>
          <w:p>
            <w:pPr>
              <w:pStyle w:val="Compact"/>
              <w:jc w:val="left"/>
            </w:pPr>
            <w:r>
              <w:t xml:space="preserve">25</w:t>
            </w:r>
          </w:p>
        </w:tc>
        <w:tc>
          <w:tcPr/>
          <w:p>
            <w:pPr>
              <w:pStyle w:val="Compact"/>
            </w:pPr>
          </w:p>
        </w:tc>
        <w:tc>
          <w:tcPr/>
          <w:p>
            <w:pPr>
              <w:pStyle w:val="Compact"/>
              <w:jc w:val="left"/>
            </w:pPr>
            <w:r>
              <w:t xml:space="preserve">-18</w:t>
            </w:r>
          </w:p>
        </w:tc>
        <w:tc>
          <w:tcPr/>
          <w:p>
            <w:pPr>
              <w:pStyle w:val="Compact"/>
              <w:jc w:val="left"/>
            </w:pPr>
            <w:r>
              <w:t xml:space="preserve">5</w:t>
            </w:r>
          </w:p>
        </w:tc>
        <w:tc>
          <w:tcPr/>
          <w:p>
            <w:pPr>
              <w:pStyle w:val="Compact"/>
              <w:jc w:val="left"/>
            </w:pPr>
            <w:r>
              <w:t xml:space="preserve">-12</w:t>
            </w:r>
          </w:p>
        </w:tc>
      </w:tr>
      <w:tr>
        <w:tc>
          <w:tcPr/>
          <w:p>
            <w:pPr>
              <w:pStyle w:val="Compact"/>
              <w:jc w:val="left"/>
            </w:pPr>
            <w:r>
              <w:t xml:space="preserve">-12</w:t>
            </w:r>
          </w:p>
        </w:tc>
        <w:tc>
          <w:tcPr/>
          <w:p>
            <w:pPr>
              <w:pStyle w:val="Compact"/>
            </w:pPr>
          </w:p>
        </w:tc>
        <w:tc>
          <w:tcPr/>
          <w:p>
            <w:pPr>
              <w:pStyle w:val="Compact"/>
            </w:pPr>
          </w:p>
        </w:tc>
        <w:tc>
          <w:tcPr/>
          <w:p>
            <w:pPr>
              <w:pStyle w:val="Compact"/>
            </w:pPr>
          </w:p>
        </w:tc>
        <w:tc>
          <w:tcPr/>
          <w:p>
            <w:pPr>
              <w:pStyle w:val="Compact"/>
              <w:jc w:val="left"/>
            </w:pPr>
            <w:r>
              <w:t xml:space="preserve">-18</w:t>
            </w:r>
          </w:p>
        </w:tc>
      </w:tr>
      <w:tr>
        <w:tc>
          <w:tcPr/>
          <w:p>
            <w:pPr>
              <w:pStyle w:val="Compact"/>
            </w:pPr>
          </w:p>
        </w:tc>
        <w:tc>
          <w:tcPr/>
          <w:p>
            <w:pPr>
              <w:pStyle w:val="Compact"/>
              <w:jc w:val="left"/>
            </w:pPr>
            <w:r>
              <w:t xml:space="preserve">-18</w:t>
            </w:r>
          </w:p>
        </w:tc>
        <w:tc>
          <w:tcPr/>
          <w:p>
            <w:pPr>
              <w:pStyle w:val="Compact"/>
              <w:jc w:val="left"/>
            </w:pPr>
            <w:r>
              <w:t xml:space="preserve">25</w:t>
            </w:r>
          </w:p>
        </w:tc>
        <w:tc>
          <w:tcPr/>
          <w:p>
            <w:pPr>
              <w:pStyle w:val="Compact"/>
              <w:jc w:val="left"/>
            </w:pPr>
            <w:r>
              <w:t xml:space="preserve">-12</w:t>
            </w:r>
          </w:p>
        </w:tc>
        <w:tc>
          <w:tcPr/>
          <w:p>
            <w:pPr>
              <w:pStyle w:val="Compact"/>
            </w:pPr>
          </w:p>
        </w:tc>
      </w:tr>
    </w:tbl>
    <w:p/>
    <w:tbl>
      <w:tblPr>
        <w:tblStyle w:val="Table"/>
        <w:tblW w:type="auto" w:w="0"/>
        <w:tblLook w:firstRow="0" w:lastRow="0" w:firstColumn="0" w:lastColumn="0" w:noHBand="0" w:noVBand="0" w:val="0000"/>
      </w:tblPr>
      <w:tblGrid>
        <w:gridCol w:w="1584"/>
        <w:gridCol w:w="1584"/>
        <w:gridCol w:w="1584"/>
        <w:gridCol w:w="1584"/>
        <w:gridCol w:w="1584"/>
      </w:tblGrid>
      <w:tr>
        <w:tc>
          <w:tcPr/>
          <w:p>
            <w:pPr>
              <w:pStyle w:val="Compact"/>
            </w:pPr>
          </w:p>
        </w:tc>
        <w:tc>
          <w:tcPr/>
          <w:p>
            <w:pPr>
              <w:pStyle w:val="Compact"/>
              <w:jc w:val="left"/>
            </w:pPr>
            <w:r>
              <w:t xml:space="preserve">-12</w:t>
            </w:r>
          </w:p>
        </w:tc>
        <w:tc>
          <w:tcPr/>
          <w:p>
            <w:pPr>
              <w:pStyle w:val="Compact"/>
              <w:jc w:val="left"/>
            </w:pPr>
            <w:r>
              <w:t xml:space="preserve">0</w:t>
            </w:r>
          </w:p>
        </w:tc>
        <w:tc>
          <w:tcPr/>
          <w:p>
            <w:pPr>
              <w:pStyle w:val="Compact"/>
            </w:pPr>
          </w:p>
        </w:tc>
        <w:tc>
          <w:tcPr/>
          <w:p>
            <w:pPr>
              <w:pStyle w:val="Compact"/>
              <w:jc w:val="left"/>
            </w:pPr>
            <w:r>
              <w:t xml:space="preserve">5</w:t>
            </w:r>
          </w:p>
        </w:tc>
      </w:tr>
      <w:tr>
        <w:tc>
          <w:tcPr/>
          <w:p>
            <w:pPr>
              <w:pStyle w:val="Compact"/>
              <w:jc w:val="left"/>
            </w:pPr>
            <w:r>
              <w:t xml:space="preserve">0</w:t>
            </w:r>
          </w:p>
        </w:tc>
        <w:tc>
          <w:tcPr/>
          <w:p>
            <w:pPr>
              <w:pStyle w:val="Compact"/>
            </w:pPr>
          </w:p>
        </w:tc>
        <w:tc>
          <w:tcPr/>
          <w:p>
            <w:pPr>
              <w:pStyle w:val="Compact"/>
            </w:pPr>
          </w:p>
        </w:tc>
        <w:tc>
          <w:tcPr/>
          <w:p>
            <w:pPr>
              <w:pStyle w:val="Compact"/>
              <w:jc w:val="left"/>
            </w:pPr>
            <w:r>
              <w:t xml:space="preserve">-18</w:t>
            </w:r>
          </w:p>
        </w:tc>
        <w:tc>
          <w:tcPr/>
          <w:p>
            <w:pPr>
              <w:pStyle w:val="Compact"/>
              <w:jc w:val="left"/>
            </w:pPr>
            <w:r>
              <w:t xml:space="preserve">25</w:t>
            </w:r>
          </w:p>
        </w:tc>
      </w:tr>
      <w:tr>
        <w:tc>
          <w:tcPr/>
          <w:p>
            <w:pPr>
              <w:pStyle w:val="Compact"/>
              <w:jc w:val="left"/>
            </w:pPr>
            <w:r>
              <w:t xml:space="preserve">25</w:t>
            </w:r>
          </w:p>
        </w:tc>
        <w:tc>
          <w:tcPr/>
          <w:p>
            <w:pPr>
              <w:pStyle w:val="Compact"/>
            </w:pPr>
          </w:p>
        </w:tc>
        <w:tc>
          <w:tcPr/>
          <w:p>
            <w:pPr>
              <w:pStyle w:val="Compact"/>
              <w:jc w:val="left"/>
            </w:pPr>
            <w:r>
              <w:t xml:space="preserve">-18</w:t>
            </w:r>
          </w:p>
        </w:tc>
        <w:tc>
          <w:tcPr/>
          <w:p>
            <w:pPr>
              <w:pStyle w:val="Compact"/>
              <w:jc w:val="left"/>
            </w:pPr>
            <w:r>
              <w:t xml:space="preserve">5</w:t>
            </w:r>
          </w:p>
        </w:tc>
        <w:tc>
          <w:tcPr/>
          <w:p>
            <w:pPr>
              <w:pStyle w:val="Compact"/>
              <w:jc w:val="left"/>
            </w:pPr>
            <w:r>
              <w:t xml:space="preserve">-12</w:t>
            </w:r>
          </w:p>
        </w:tc>
      </w:tr>
      <w:tr>
        <w:tc>
          <w:tcPr/>
          <w:p>
            <w:pPr>
              <w:pStyle w:val="Compact"/>
              <w:jc w:val="left"/>
            </w:pPr>
            <w:r>
              <w:t xml:space="preserve">-12</w:t>
            </w:r>
          </w:p>
        </w:tc>
        <w:tc>
          <w:tcPr/>
          <w:p>
            <w:pPr>
              <w:pStyle w:val="Compact"/>
            </w:pPr>
          </w:p>
        </w:tc>
        <w:tc>
          <w:tcPr/>
          <w:p>
            <w:pPr>
              <w:pStyle w:val="Compact"/>
            </w:pPr>
          </w:p>
        </w:tc>
        <w:tc>
          <w:tcPr/>
          <w:p>
            <w:pPr>
              <w:pStyle w:val="Compact"/>
            </w:pPr>
          </w:p>
        </w:tc>
        <w:tc>
          <w:tcPr/>
          <w:p>
            <w:pPr>
              <w:pStyle w:val="Compact"/>
              <w:jc w:val="left"/>
            </w:pPr>
            <w:r>
              <w:t xml:space="preserve">-18</w:t>
            </w:r>
          </w:p>
        </w:tc>
      </w:tr>
      <w:tr>
        <w:tc>
          <w:tcPr/>
          <w:p>
            <w:pPr>
              <w:pStyle w:val="Compact"/>
            </w:pPr>
          </w:p>
        </w:tc>
        <w:tc>
          <w:tcPr/>
          <w:p>
            <w:pPr>
              <w:pStyle w:val="Compact"/>
              <w:jc w:val="left"/>
            </w:pPr>
            <w:r>
              <w:t xml:space="preserve">-18</w:t>
            </w:r>
          </w:p>
        </w:tc>
        <w:tc>
          <w:tcPr/>
          <w:p>
            <w:pPr>
              <w:pStyle w:val="Compact"/>
              <w:jc w:val="left"/>
            </w:pPr>
            <w:r>
              <w:t xml:space="preserve">25</w:t>
            </w:r>
          </w:p>
        </w:tc>
        <w:tc>
          <w:tcPr/>
          <w:p>
            <w:pPr>
              <w:pStyle w:val="Compact"/>
              <w:jc w:val="left"/>
            </w:pPr>
            <w:r>
              <w:t xml:space="preserve">-12</w:t>
            </w:r>
          </w:p>
        </w:tc>
        <w:tc>
          <w:tcPr/>
          <w:p>
            <w:pPr>
              <w:pStyle w:val="Compact"/>
            </w:pPr>
          </w:p>
        </w:tc>
      </w:tr>
    </w:tbl>
    <w:bookmarkEnd w:id="25"/>
    <w:bookmarkEnd w:id="26"/>
    <w:bookmarkStart w:id="27" w:name="does-the-order-matter"/>
    <w:p>
      <w:pPr>
        <w:pStyle w:val="Heading3"/>
      </w:pPr>
      <w:r>
        <w:t xml:space="preserve">10.3: Does the Order Matter?</w:t>
      </w:r>
    </w:p>
    <w:p>
      <w:pPr>
        <w:numPr>
          <w:ilvl w:val="0"/>
          <w:numId w:val="1001"/>
        </w:numPr>
        <w:pStyle w:val="Compact"/>
      </w:pPr>
      <w:r>
        <w:t xml:space="preserve">Find the value of each subtraction expression.</w:t>
      </w:r>
    </w:p>
    <w:tbl>
      <w:tblPr>
        <w:tblStyle w:val="Table"/>
        <w:tblW w:type="auto" w:w="0"/>
        <w:tblLook w:firstRow="1" w:lastRow="0" w:firstColumn="0" w:lastColumn="0" w:noHBand="0" w:noVBand="0" w:val="0020"/>
      </w:tblPr>
      <w:tblGrid>
        <w:gridCol w:w="7920"/>
      </w:tblGrid>
      <w:tr>
        <w:trPr>
          <w:tblHeader w:val="true"/>
        </w:trPr>
        <w:tc>
          <w:tcPr/>
          <w:p>
            <w:pPr>
              <w:numPr>
                <w:ilvl w:val="0"/>
                <w:numId w:val="1000"/>
              </w:numPr>
              <w:pStyle w:val="Compact"/>
              <w:jc w:val="left"/>
            </w:pPr>
            <w:r>
              <w:t xml:space="preserve">A</w:t>
            </w:r>
          </w:p>
        </w:tc>
      </w:tr>
      <w:tr>
        <w:tc>
          <w:tcPr/>
          <w:p>
            <w:pPr>
              <w:numPr>
                <w:ilvl w:val="0"/>
                <w:numId w:val="1000"/>
              </w:numPr>
              <w:pStyle w:val="Compact"/>
              <w:jc w:val="left"/>
            </w:pPr>
            <m:oMath>
              <m:r>
                <m:t>3</m:t>
              </m:r>
              <m:r>
                <m:rPr>
                  <m:sty m:val="p"/>
                </m:rPr>
                <m:t>−</m:t>
              </m:r>
              <m:r>
                <m:t>2</m:t>
              </m:r>
            </m:oMath>
          </w:p>
        </w:tc>
      </w:tr>
      <w:tr>
        <w:tc>
          <w:tcPr/>
          <w:p>
            <w:pPr>
              <w:numPr>
                <w:ilvl w:val="0"/>
                <w:numId w:val="1000"/>
              </w:numPr>
              <w:pStyle w:val="Compact"/>
              <w:jc w:val="left"/>
            </w:pPr>
            <m:oMath>
              <m:r>
                <m:t>5</m:t>
              </m:r>
              <m:r>
                <m:rPr>
                  <m:sty m:val="p"/>
                </m:rPr>
                <m:t>−</m:t>
              </m:r>
              <m:d>
                <m:dPr>
                  <m:begChr m:val="("/>
                  <m:endChr m:val=")"/>
                  <m:sepChr m:val=""/>
                  <m:grow/>
                </m:dPr>
                <m:e>
                  <m:r>
                    <m:rPr>
                      <m:nor/>
                      <m:sty m:val="p"/>
                    </m:rPr>
                    <m:t>-</m:t>
                  </m:r>
                  <m:r>
                    <m:t>9</m:t>
                  </m:r>
                </m:e>
              </m:d>
            </m:oMath>
          </w:p>
        </w:tc>
      </w:tr>
      <w:tr>
        <w:tc>
          <w:tcPr/>
          <w:p>
            <w:pPr>
              <w:numPr>
                <w:ilvl w:val="0"/>
                <w:numId w:val="1000"/>
              </w:numPr>
              <w:pStyle w:val="Compact"/>
              <w:jc w:val="left"/>
            </w:pPr>
            <m:oMath>
              <m:d>
                <m:dPr>
                  <m:begChr m:val="("/>
                  <m:endChr m:val=")"/>
                  <m:sepChr m:val=""/>
                  <m:grow/>
                </m:dPr>
                <m:e>
                  <m:r>
                    <m:rPr>
                      <m:nor/>
                      <m:sty m:val="p"/>
                    </m:rPr>
                    <m:t>-</m:t>
                  </m:r>
                  <m:r>
                    <m:t>11</m:t>
                  </m:r>
                </m:e>
              </m:d>
              <m:r>
                <m:rPr>
                  <m:sty m:val="p"/>
                </m:rPr>
                <m:t>−</m:t>
              </m:r>
              <m:r>
                <m:t>2</m:t>
              </m:r>
            </m:oMath>
          </w:p>
        </w:tc>
      </w:tr>
      <w:tr>
        <w:tc>
          <w:tcPr/>
          <w:p>
            <w:pPr>
              <w:numPr>
                <w:ilvl w:val="0"/>
                <w:numId w:val="1000"/>
              </w:numPr>
              <w:pStyle w:val="Compact"/>
              <w:jc w:val="left"/>
            </w:pPr>
            <m:oMath>
              <m:d>
                <m:dPr>
                  <m:begChr m:val="("/>
                  <m:endChr m:val=")"/>
                  <m:sepChr m:val=""/>
                  <m:grow/>
                </m:dPr>
                <m:e>
                  <m:r>
                    <m:rPr>
                      <m:nor/>
                      <m:sty m:val="p"/>
                    </m:rPr>
                    <m:t>-</m:t>
                  </m:r>
                  <m:r>
                    <m:t>6</m:t>
                  </m:r>
                </m:e>
              </m:d>
              <m:r>
                <m:rPr>
                  <m:sty m:val="p"/>
                </m:rPr>
                <m:t>−</m:t>
              </m:r>
              <m:d>
                <m:dPr>
                  <m:begChr m:val="("/>
                  <m:endChr m:val=")"/>
                  <m:sepChr m:val=""/>
                  <m:grow/>
                </m:dPr>
                <m:e>
                  <m:r>
                    <m:rPr>
                      <m:nor/>
                      <m:sty m:val="p"/>
                    </m:rPr>
                    <m:t>-</m:t>
                  </m:r>
                  <m:r>
                    <m:t>3</m:t>
                  </m:r>
                </m:e>
              </m:d>
            </m:oMath>
          </w:p>
        </w:tc>
      </w:tr>
      <w:tr>
        <w:tc>
          <w:tcPr/>
          <w:p>
            <w:pPr>
              <w:numPr>
                <w:ilvl w:val="0"/>
                <w:numId w:val="1000"/>
              </w:numPr>
              <w:pStyle w:val="Compact"/>
              <w:jc w:val="left"/>
            </w:pPr>
            <m:oMath>
              <m:d>
                <m:dPr>
                  <m:begChr m:val="("/>
                  <m:endChr m:val=")"/>
                  <m:sepChr m:val=""/>
                  <m:grow/>
                </m:dPr>
                <m:e>
                  <m:r>
                    <m:rPr>
                      <m:nor/>
                      <m:sty m:val="p"/>
                    </m:rPr>
                    <m:t>-</m:t>
                  </m:r>
                  <m:r>
                    <m:t>1.2</m:t>
                  </m:r>
                </m:e>
              </m:d>
              <m:r>
                <m:rPr>
                  <m:sty m:val="p"/>
                </m:rPr>
                <m:t>−</m:t>
              </m:r>
              <m:d>
                <m:dPr>
                  <m:begChr m:val="("/>
                  <m:endChr m:val=")"/>
                  <m:sepChr m:val=""/>
                  <m:grow/>
                </m:dPr>
                <m:e>
                  <m:r>
                    <m:rPr>
                      <m:sty m:val="p"/>
                    </m:rPr>
                    <m:t>−</m:t>
                  </m:r>
                  <m:r>
                    <m:t>3.6</m:t>
                  </m:r>
                </m:e>
              </m:d>
            </m:oMath>
          </w:p>
        </w:tc>
      </w:tr>
      <w:tr>
        <w:tc>
          <w:tcPr/>
          <w:p>
            <w:pPr>
              <w:numPr>
                <w:ilvl w:val="0"/>
                <w:numId w:val="1000"/>
              </w:numPr>
              <w:pStyle w:val="Compact"/>
              <w:jc w:val="left"/>
            </w:pPr>
            <m:oMath>
              <m:d>
                <m:dPr>
                  <m:begChr m:val="("/>
                  <m:endChr m:val=")"/>
                  <m:sepChr m:val=""/>
                  <m:grow/>
                </m:dPr>
                <m:e>
                  <m:r>
                    <m:rPr>
                      <m:nor/>
                      <m:sty m:val="p"/>
                    </m:rPr>
                    <m:t>-</m:t>
                  </m:r>
                  <m:r>
                    <m:t>2</m:t>
                  </m:r>
                  <m:f>
                    <m:fPr>
                      <m:type m:val="bar"/>
                    </m:fPr>
                    <m:num>
                      <m:r>
                        <m:t>1</m:t>
                      </m:r>
                    </m:num>
                    <m:den>
                      <m:r>
                        <m:t>2</m:t>
                      </m:r>
                    </m:den>
                  </m:f>
                </m:e>
              </m:d>
              <m:r>
                <m:rPr>
                  <m:sty m:val="p"/>
                </m:rPr>
                <m:t>−</m:t>
              </m:r>
              <m:d>
                <m:dPr>
                  <m:begChr m:val="("/>
                  <m:endChr m:val=")"/>
                  <m:sepChr m:val=""/>
                  <m:grow/>
                </m:dPr>
                <m:e>
                  <m:r>
                    <m:rPr>
                      <m:nor/>
                      <m:sty m:val="p"/>
                    </m:rPr>
                    <m:t>-</m:t>
                  </m:r>
                  <m:r>
                    <m:t>3</m:t>
                  </m:r>
                  <m:f>
                    <m:fPr>
                      <m:type m:val="bar"/>
                    </m:fPr>
                    <m:num>
                      <m:r>
                        <m:t>1</m:t>
                      </m:r>
                    </m:num>
                    <m:den>
                      <m:r>
                        <m:t>2</m:t>
                      </m:r>
                    </m:den>
                  </m:f>
                </m:e>
              </m:d>
            </m:oMath>
          </w:p>
        </w:tc>
      </w:tr>
    </w:tbl>
    <w:p/>
    <w:tbl>
      <w:tblPr>
        <w:tblStyle w:val="Table"/>
        <w:tblW w:type="auto" w:w="0"/>
        <w:tblLook w:firstRow="1" w:lastRow="0" w:firstColumn="0" w:lastColumn="0" w:noHBand="0" w:noVBand="0" w:val="0020"/>
      </w:tblPr>
      <w:tblGrid>
        <w:gridCol w:w="7920"/>
      </w:tblGrid>
      <w:tr>
        <w:trPr>
          <w:tblHeader w:val="true"/>
        </w:trPr>
        <w:tc>
          <w:tcPr/>
          <w:p>
            <w:pPr>
              <w:numPr>
                <w:ilvl w:val="0"/>
                <w:numId w:val="1000"/>
              </w:numPr>
              <w:pStyle w:val="Compact"/>
              <w:jc w:val="left"/>
            </w:pPr>
            <w:r>
              <w:t xml:space="preserve">B</w:t>
            </w:r>
          </w:p>
        </w:tc>
      </w:tr>
      <w:tr>
        <w:tc>
          <w:tcPr/>
          <w:p>
            <w:pPr>
              <w:numPr>
                <w:ilvl w:val="0"/>
                <w:numId w:val="1000"/>
              </w:numPr>
              <w:pStyle w:val="Compact"/>
              <w:jc w:val="left"/>
            </w:pPr>
            <m:oMath>
              <m:r>
                <m:t>2</m:t>
              </m:r>
              <m:r>
                <m:rPr>
                  <m:sty m:val="p"/>
                </m:rPr>
                <m:t>−</m:t>
              </m:r>
              <m:r>
                <m:t>3</m:t>
              </m:r>
            </m:oMath>
          </w:p>
        </w:tc>
      </w:tr>
      <w:tr>
        <w:tc>
          <w:tcPr/>
          <w:p>
            <w:pPr>
              <w:numPr>
                <w:ilvl w:val="0"/>
                <w:numId w:val="1000"/>
              </w:numPr>
              <w:pStyle w:val="Compact"/>
              <w:jc w:val="left"/>
            </w:pPr>
            <m:oMath>
              <m:d>
                <m:dPr>
                  <m:begChr m:val="("/>
                  <m:endChr m:val=")"/>
                  <m:sepChr m:val=""/>
                  <m:grow/>
                </m:dPr>
                <m:e>
                  <m:r>
                    <m:rPr>
                      <m:nor/>
                      <m:sty m:val="p"/>
                    </m:rPr>
                    <m:t>-</m:t>
                  </m:r>
                  <m:r>
                    <m:t>9</m:t>
                  </m:r>
                </m:e>
              </m:d>
              <m:r>
                <m:rPr>
                  <m:sty m:val="p"/>
                </m:rPr>
                <m:t>−</m:t>
              </m:r>
              <m:r>
                <m:t>5</m:t>
              </m:r>
            </m:oMath>
          </w:p>
        </w:tc>
      </w:tr>
      <w:tr>
        <w:tc>
          <w:tcPr/>
          <w:p>
            <w:pPr>
              <w:numPr>
                <w:ilvl w:val="0"/>
                <w:numId w:val="1000"/>
              </w:numPr>
              <w:pStyle w:val="Compact"/>
              <w:jc w:val="left"/>
            </w:pPr>
            <m:oMath>
              <m:r>
                <m:t>2</m:t>
              </m:r>
              <m:r>
                <m:rPr>
                  <m:sty m:val="p"/>
                </m:rPr>
                <m:t>−</m:t>
              </m:r>
              <m:d>
                <m:dPr>
                  <m:begChr m:val="("/>
                  <m:endChr m:val=")"/>
                  <m:sepChr m:val=""/>
                  <m:grow/>
                </m:dPr>
                <m:e>
                  <m:r>
                    <m:rPr>
                      <m:nor/>
                      <m:sty m:val="p"/>
                    </m:rPr>
                    <m:t>-</m:t>
                  </m:r>
                  <m:r>
                    <m:t>11</m:t>
                  </m:r>
                </m:e>
              </m:d>
            </m:oMath>
          </w:p>
        </w:tc>
      </w:tr>
      <w:tr>
        <w:tc>
          <w:tcPr/>
          <w:p>
            <w:pPr>
              <w:numPr>
                <w:ilvl w:val="0"/>
                <w:numId w:val="1000"/>
              </w:numPr>
              <w:pStyle w:val="Compact"/>
              <w:jc w:val="left"/>
            </w:pPr>
            <m:oMath>
              <m:d>
                <m:dPr>
                  <m:begChr m:val="("/>
                  <m:endChr m:val=")"/>
                  <m:sepChr m:val=""/>
                  <m:grow/>
                </m:dPr>
                <m:e>
                  <m:r>
                    <m:rPr>
                      <m:nor/>
                      <m:sty m:val="p"/>
                    </m:rPr>
                    <m:t>-</m:t>
                  </m:r>
                  <m:r>
                    <m:t>3</m:t>
                  </m:r>
                </m:e>
              </m:d>
              <m:r>
                <m:rPr>
                  <m:sty m:val="p"/>
                </m:rPr>
                <m:t>−</m:t>
              </m:r>
              <m:d>
                <m:dPr>
                  <m:begChr m:val="("/>
                  <m:endChr m:val=")"/>
                  <m:sepChr m:val=""/>
                  <m:grow/>
                </m:dPr>
                <m:e>
                  <m:r>
                    <m:rPr>
                      <m:nor/>
                      <m:sty m:val="p"/>
                    </m:rPr>
                    <m:t>-</m:t>
                  </m:r>
                  <m:r>
                    <m:t>6</m:t>
                  </m:r>
                </m:e>
              </m:d>
            </m:oMath>
          </w:p>
        </w:tc>
      </w:tr>
      <w:tr>
        <w:tc>
          <w:tcPr/>
          <w:p>
            <w:pPr>
              <w:numPr>
                <w:ilvl w:val="0"/>
                <w:numId w:val="1000"/>
              </w:numPr>
              <w:pStyle w:val="Compact"/>
              <w:jc w:val="left"/>
            </w:pPr>
            <m:oMath>
              <m:d>
                <m:dPr>
                  <m:begChr m:val="("/>
                  <m:endChr m:val=")"/>
                  <m:sepChr m:val=""/>
                  <m:grow/>
                </m:dPr>
                <m:e>
                  <m:r>
                    <m:rPr>
                      <m:nor/>
                      <m:sty m:val="p"/>
                    </m:rPr>
                    <m:t>-</m:t>
                  </m:r>
                  <m:r>
                    <m:t>3.6</m:t>
                  </m:r>
                </m:e>
              </m:d>
              <m:r>
                <m:rPr>
                  <m:sty m:val="p"/>
                </m:rPr>
                <m:t>−</m:t>
              </m:r>
              <m:d>
                <m:dPr>
                  <m:begChr m:val="("/>
                  <m:endChr m:val=")"/>
                  <m:sepChr m:val=""/>
                  <m:grow/>
                </m:dPr>
                <m:e>
                  <m:r>
                    <m:rPr>
                      <m:nor/>
                      <m:sty m:val="p"/>
                    </m:rPr>
                    <m:t>-</m:t>
                  </m:r>
                  <m:r>
                    <m:t>1.2</m:t>
                  </m:r>
                </m:e>
              </m:d>
            </m:oMath>
          </w:p>
        </w:tc>
      </w:tr>
      <w:tr>
        <w:tc>
          <w:tcPr/>
          <w:p>
            <w:pPr>
              <w:numPr>
                <w:ilvl w:val="0"/>
                <w:numId w:val="1000"/>
              </w:numPr>
              <w:pStyle w:val="Compact"/>
              <w:jc w:val="left"/>
            </w:pPr>
            <m:oMath>
              <m:d>
                <m:dPr>
                  <m:begChr m:val="("/>
                  <m:endChr m:val=")"/>
                  <m:sepChr m:val=""/>
                  <m:grow/>
                </m:dPr>
                <m:e>
                  <m:r>
                    <m:rPr>
                      <m:nor/>
                      <m:sty m:val="p"/>
                    </m:rPr>
                    <m:t>-</m:t>
                  </m:r>
                  <m:r>
                    <m:t>3</m:t>
                  </m:r>
                  <m:f>
                    <m:fPr>
                      <m:type m:val="bar"/>
                    </m:fPr>
                    <m:num>
                      <m:r>
                        <m:t>1</m:t>
                      </m:r>
                    </m:num>
                    <m:den>
                      <m:r>
                        <m:t>2</m:t>
                      </m:r>
                    </m:den>
                  </m:f>
                </m:e>
              </m:d>
              <m:r>
                <m:rPr>
                  <m:sty m:val="p"/>
                </m:rPr>
                <m:t>−</m:t>
              </m:r>
              <m:d>
                <m:dPr>
                  <m:begChr m:val="("/>
                  <m:endChr m:val=")"/>
                  <m:sepChr m:val=""/>
                  <m:grow/>
                </m:dPr>
                <m:e>
                  <m:r>
                    <m:rPr>
                      <m:nor/>
                      <m:sty m:val="p"/>
                    </m:rPr>
                    <m:t>-</m:t>
                  </m:r>
                  <m:r>
                    <m:t>2</m:t>
                  </m:r>
                  <m:f>
                    <m:fPr>
                      <m:type m:val="bar"/>
                    </m:fPr>
                    <m:num>
                      <m:r>
                        <m:t>1</m:t>
                      </m:r>
                    </m:num>
                    <m:den>
                      <m:r>
                        <m:t>2</m:t>
                      </m:r>
                    </m:den>
                  </m:f>
                </m:e>
              </m:d>
            </m:oMath>
          </w:p>
        </w:tc>
      </w:tr>
    </w:tbl>
    <w:p>
      <w:pPr>
        <w:numPr>
          <w:ilvl w:val="0"/>
          <w:numId w:val="1001"/>
        </w:numPr>
        <w:pStyle w:val="Compact"/>
      </w:pPr>
      <w:r>
        <w:t xml:space="preserve">What do you notice about the expressions in Column A compared to Column B?</w:t>
      </w:r>
    </w:p>
    <w:p>
      <w:pPr>
        <w:numPr>
          <w:ilvl w:val="0"/>
          <w:numId w:val="1001"/>
        </w:numPr>
        <w:pStyle w:val="Compact"/>
      </w:pPr>
      <w:r>
        <w:t xml:space="preserve">What do you notice about their values?</w:t>
      </w:r>
    </w:p>
    <w:bookmarkEnd w:id="27"/>
    <w:bookmarkStart w:id="28" w:name="phone-inventory"/>
    <w:p>
      <w:pPr>
        <w:pStyle w:val="Heading3"/>
      </w:pPr>
      <w:r>
        <w:t xml:space="preserve">10.4: Phone Inventory</w:t>
      </w:r>
    </w:p>
    <w:p>
      <w:pPr>
        <w:pStyle w:val="FirstParagraph"/>
      </w:pPr>
      <w:r>
        <w:t xml:space="preserve">A store tracks the number of cell phones it has in stock and how many phones it sells.</w:t>
      </w:r>
    </w:p>
    <w:p>
      <w:pPr>
        <w:pStyle w:val="BodyText"/>
      </w:pPr>
      <w:r>
        <w:t xml:space="preserve">The table shows the inventory for one phone model at the beginning of each day last week. The inventory changes when they sell phones or get shipments of phones into the store.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pPr>
          </w:p>
        </w:tc>
        <w:tc>
          <w:tcPr/>
          <w:p>
            <w:pPr>
              <w:pStyle w:val="Compact"/>
              <w:jc w:val="left"/>
            </w:pPr>
            <w:r>
              <w:t xml:space="preserve">inventory</w:t>
            </w:r>
          </w:p>
        </w:tc>
        <w:tc>
          <w:tcPr/>
          <w:p>
            <w:pPr>
              <w:pStyle w:val="Compact"/>
              <w:jc w:val="left"/>
            </w:pPr>
            <w:r>
              <w:t xml:space="preserve">change</w:t>
            </w:r>
          </w:p>
        </w:tc>
      </w:tr>
      <w:tr>
        <w:tc>
          <w:tcPr/>
          <w:p>
            <w:pPr>
              <w:pStyle w:val="Compact"/>
              <w:jc w:val="left"/>
            </w:pPr>
            <w:r>
              <w:t xml:space="preserve">Monday</w:t>
            </w:r>
          </w:p>
        </w:tc>
        <w:tc>
          <w:tcPr/>
          <w:p>
            <w:pPr>
              <w:pStyle w:val="Compact"/>
              <w:jc w:val="left"/>
            </w:pPr>
            <w:r>
              <w:t xml:space="preserve">18</w:t>
            </w:r>
          </w:p>
        </w:tc>
        <w:tc>
          <w:tcPr/>
          <w:p>
            <w:pPr>
              <w:pStyle w:val="Compact"/>
              <w:jc w:val="left"/>
            </w:pPr>
            <w:r>
              <w:t xml:space="preserve">-2</w:t>
            </w:r>
          </w:p>
        </w:tc>
      </w:tr>
      <w:tr>
        <w:tc>
          <w:tcPr/>
          <w:p>
            <w:pPr>
              <w:pStyle w:val="Compact"/>
              <w:jc w:val="left"/>
            </w:pPr>
            <w:r>
              <w:t xml:space="preserve">Tuesday</w:t>
            </w:r>
          </w:p>
        </w:tc>
        <w:tc>
          <w:tcPr/>
          <w:p>
            <w:pPr>
              <w:pStyle w:val="Compact"/>
              <w:jc w:val="left"/>
            </w:pPr>
            <w:r>
              <w:t xml:space="preserve">16</w:t>
            </w:r>
          </w:p>
        </w:tc>
        <w:tc>
          <w:tcPr/>
          <w:p>
            <w:pPr>
              <w:pStyle w:val="Compact"/>
              <w:jc w:val="left"/>
            </w:pPr>
            <w:r>
              <w:t xml:space="preserve">-5</w:t>
            </w:r>
          </w:p>
        </w:tc>
      </w:tr>
      <w:tr>
        <w:tc>
          <w:tcPr/>
          <w:p>
            <w:pPr>
              <w:pStyle w:val="Compact"/>
              <w:jc w:val="left"/>
            </w:pPr>
            <w:r>
              <w:t xml:space="preserve">Wednesday</w:t>
            </w:r>
          </w:p>
        </w:tc>
        <w:tc>
          <w:tcPr/>
          <w:p>
            <w:pPr>
              <w:pStyle w:val="Compact"/>
              <w:jc w:val="left"/>
            </w:pPr>
            <w:r>
              <w:t xml:space="preserve">11</w:t>
            </w:r>
          </w:p>
        </w:tc>
        <w:tc>
          <w:tcPr/>
          <w:p>
            <w:pPr>
              <w:pStyle w:val="Compact"/>
              <w:jc w:val="left"/>
            </w:pPr>
            <w:r>
              <w:t xml:space="preserve">-7</w:t>
            </w:r>
          </w:p>
        </w:tc>
      </w:tr>
      <w:tr>
        <w:tc>
          <w:tcPr/>
          <w:p>
            <w:pPr>
              <w:pStyle w:val="Compact"/>
              <w:jc w:val="left"/>
            </w:pPr>
            <w:r>
              <w:t xml:space="preserve">Thursday</w:t>
            </w:r>
          </w:p>
        </w:tc>
        <w:tc>
          <w:tcPr/>
          <w:p>
            <w:pPr>
              <w:pStyle w:val="Compact"/>
              <w:jc w:val="left"/>
            </w:pPr>
            <w:r>
              <w:t xml:space="preserve">4</w:t>
            </w:r>
          </w:p>
        </w:tc>
        <w:tc>
          <w:tcPr/>
          <w:p>
            <w:pPr>
              <w:pStyle w:val="Compact"/>
              <w:jc w:val="left"/>
            </w:pPr>
            <w:r>
              <w:t xml:space="preserve">-6</w:t>
            </w:r>
          </w:p>
        </w:tc>
      </w:tr>
      <w:tr>
        <w:tc>
          <w:tcPr/>
          <w:p>
            <w:pPr>
              <w:pStyle w:val="Compact"/>
              <w:jc w:val="left"/>
            </w:pPr>
            <w:r>
              <w:t xml:space="preserve">Friday</w:t>
            </w:r>
          </w:p>
        </w:tc>
        <w:tc>
          <w:tcPr/>
          <w:p>
            <w:pPr>
              <w:pStyle w:val="Compact"/>
              <w:jc w:val="left"/>
            </w:pPr>
            <w:r>
              <w:t xml:space="preserve">-2</w:t>
            </w:r>
          </w:p>
        </w:tc>
        <w:tc>
          <w:tcPr/>
          <w:p>
            <w:pPr>
              <w:pStyle w:val="Compact"/>
              <w:jc w:val="left"/>
            </w:pPr>
            <w:r>
              <w:t xml:space="preserve">20</w:t>
            </w:r>
          </w:p>
        </w:tc>
      </w:tr>
    </w:tbl>
    <w:p>
      <w:pPr>
        <w:numPr>
          <w:ilvl w:val="0"/>
          <w:numId w:val="1002"/>
        </w:numPr>
        <w:pStyle w:val="Compact"/>
      </w:pPr>
      <w:r>
        <w:t xml:space="preserve">What do you think it means when the change is positive? Negative?</w:t>
      </w:r>
    </w:p>
    <w:p>
      <w:pPr>
        <w:numPr>
          <w:ilvl w:val="0"/>
          <w:numId w:val="1002"/>
        </w:numPr>
        <w:pStyle w:val="Compact"/>
      </w:pPr>
      <w:r>
        <w:t xml:space="preserve">What do you think it means when the inventory is positive? Negative?</w:t>
      </w:r>
    </w:p>
    <w:p>
      <w:pPr>
        <w:numPr>
          <w:ilvl w:val="0"/>
          <w:numId w:val="1002"/>
        </w:numPr>
        <w:pStyle w:val="Compact"/>
      </w:pPr>
      <w:r>
        <w:t xml:space="preserve">Based on the information in the table, what do you think the inventory will be at on Saturday morning? Explain your reasoning.</w:t>
      </w:r>
    </w:p>
    <w:p>
      <w:pPr>
        <w:numPr>
          <w:ilvl w:val="0"/>
          <w:numId w:val="1002"/>
        </w:numPr>
        <w:pStyle w:val="Compact"/>
      </w:pPr>
      <w:r>
        <w:t xml:space="preserve">What is the difference between the greatest inventory and the least inventory?</w:t>
      </w:r>
    </w:p>
    <w:bookmarkEnd w:id="28"/>
    <w:bookmarkStart w:id="38" w:name="lesson-10-summary"/>
    <w:p>
      <w:pPr>
        <w:pStyle w:val="Heading3"/>
      </w:pPr>
      <w:r>
        <w:t xml:space="preserve">Lesson 10 Summary</w:t>
      </w:r>
    </w:p>
    <w:p>
      <w:pPr>
        <w:pStyle w:val="FirstParagraph"/>
      </w:pPr>
      <w:r>
        <w:t xml:space="preserve">When we talk about the difference of two numbers, we mean, “subtract them.” Usually, we subtract them in the order they are named. For example, the difference of +8 and</w:t>
      </w:r>
      <w:r>
        <w:t xml:space="preserve"> </w:t>
      </w:r>
      <m:oMath>
        <m:r>
          <m:rPr>
            <m:nor/>
            <m:sty m:val="p"/>
          </m:rPr>
          <m:t>-</m:t>
        </m:r>
        <m:r>
          <m:t>6</m:t>
        </m:r>
      </m:oMath>
      <w:r>
        <w:t xml:space="preserve"> </w:t>
      </w:r>
      <w:r>
        <w:t xml:space="preserve">is</w:t>
      </w:r>
      <w:r>
        <w:t xml:space="preserve"> </w:t>
      </w:r>
      <m:oMath>
        <m:r>
          <m:t>8</m:t>
        </m:r>
        <m:r>
          <m:rPr>
            <m:sty m:val="p"/>
          </m:rPr>
          <m:t>−</m:t>
        </m:r>
        <m:d>
          <m:dPr>
            <m:begChr m:val="("/>
            <m:endChr m:val=")"/>
            <m:sepChr m:val=""/>
            <m:grow/>
          </m:dPr>
          <m:e>
            <m:r>
              <m:rPr>
                <m:nor/>
                <m:sty m:val="p"/>
              </m:rPr>
              <m:t>-</m:t>
            </m:r>
            <m:r>
              <m:t>6</m:t>
            </m:r>
          </m:e>
        </m:d>
      </m:oMath>
      <w:r>
        <w:t xml:space="preserve">.</w:t>
      </w:r>
    </w:p>
    <w:p>
      <w:pPr>
        <w:pStyle w:val="BodyText"/>
      </w:pPr>
      <w:r>
        <w:t xml:space="preserve">The difference of two numbers tells you how far apart they are on the number line. 8 and -6 are 14 units apart, because</w:t>
      </w:r>
      <w:r>
        <w:t xml:space="preserve"> </w:t>
      </w:r>
      <m:oMath>
        <m:r>
          <m:t>8</m:t>
        </m:r>
        <m:r>
          <m:rPr>
            <m:sty m:val="p"/>
          </m:rPr>
          <m:t>−</m:t>
        </m:r>
        <m:d>
          <m:dPr>
            <m:begChr m:val="("/>
            <m:endChr m:val=")"/>
            <m:sepChr m:val=""/>
            <m:grow/>
          </m:dPr>
          <m:e>
            <m:r>
              <m:rPr>
                <m:nor/>
                <m:sty m:val="p"/>
              </m:rPr>
              <m:t>-</m:t>
            </m:r>
            <m:r>
              <m:t>6</m:t>
            </m:r>
          </m:e>
        </m:d>
        <m:r>
          <m:rPr>
            <m:sty m:val="p"/>
          </m:rPr>
          <m:t>=</m:t>
        </m:r>
        <m:r>
          <m:t>14</m:t>
        </m:r>
      </m:oMath>
      <w:r>
        <w:t xml:space="preserve">:</w:t>
      </w:r>
    </w:p>
    <w:p>
      <w:pPr>
        <w:pStyle w:val="BodyText"/>
      </w:pPr>
      <w:r>
        <w:drawing>
          <wp:inline>
            <wp:extent cx="5504749" cy="651395"/>
            <wp:effectExtent b="0" l="0" r="0" t="0"/>
            <wp:docPr descr="A number line. " title="" id="30" name="Picture"/>
            <a:graphic>
              <a:graphicData uri="http://schemas.openxmlformats.org/drawingml/2006/picture">
                <pic:pic>
                  <pic:nvPicPr>
                    <pic:cNvPr descr="/app/tmp/embedder-1671076315.424743.png" id="31" name="Picture"/>
                    <pic:cNvPicPr>
                      <a:picLocks noChangeArrowheads="1" noChangeAspect="1"/>
                    </pic:cNvPicPr>
                  </pic:nvPicPr>
                  <pic:blipFill>
                    <a:blip r:embed="rId29"/>
                    <a:stretch>
                      <a:fillRect/>
                    </a:stretch>
                  </pic:blipFill>
                  <pic:spPr bwMode="auto">
                    <a:xfrm>
                      <a:off x="0" y="0"/>
                      <a:ext cx="5504749" cy="651395"/>
                    </a:xfrm>
                    <a:prstGeom prst="rect">
                      <a:avLst/>
                    </a:prstGeom>
                    <a:noFill/>
                    <a:ln w="9525">
                      <a:noFill/>
                      <a:headEnd/>
                      <a:tailEnd/>
                    </a:ln>
                  </pic:spPr>
                </pic:pic>
              </a:graphicData>
            </a:graphic>
          </wp:inline>
        </w:drawing>
      </w:r>
    </w:p>
    <w:p>
      <w:pPr>
        <w:pStyle w:val="BodyText"/>
      </w:pPr>
      <w:r>
        <w:t xml:space="preserve">Notice that if you subtract them in the opposite order, you get the opposite number:</w:t>
      </w:r>
    </w:p>
    <w:p>
      <w:pPr>
        <w:pStyle w:val="BodyText"/>
      </w:pPr>
      <w:r>
        <w:drawing>
          <wp:inline>
            <wp:extent cx="5504749" cy="651395"/>
            <wp:effectExtent b="0" l="0" r="0" t="0"/>
            <wp:docPr descr="A number line. " title="" id="33" name="Picture"/>
            <a:graphic>
              <a:graphicData uri="http://schemas.openxmlformats.org/drawingml/2006/picture">
                <pic:pic>
                  <pic:nvPicPr>
                    <pic:cNvPr descr="/app/tmp/embedder-1671076315.4764915.png" id="34" name="Picture"/>
                    <pic:cNvPicPr>
                      <a:picLocks noChangeArrowheads="1" noChangeAspect="1"/>
                    </pic:cNvPicPr>
                  </pic:nvPicPr>
                  <pic:blipFill>
                    <a:blip r:embed="rId32"/>
                    <a:stretch>
                      <a:fillRect/>
                    </a:stretch>
                  </pic:blipFill>
                  <pic:spPr bwMode="auto">
                    <a:xfrm>
                      <a:off x="0" y="0"/>
                      <a:ext cx="5504749" cy="651395"/>
                    </a:xfrm>
                    <a:prstGeom prst="rect">
                      <a:avLst/>
                    </a:prstGeom>
                    <a:noFill/>
                    <a:ln w="9525">
                      <a:noFill/>
                      <a:headEnd/>
                      <a:tailEnd/>
                    </a:ln>
                  </pic:spPr>
                </pic:pic>
              </a:graphicData>
            </a:graphic>
          </wp:inline>
        </w:drawing>
      </w:r>
    </w:p>
    <w:p>
      <w:pPr>
        <w:pStyle w:val="BodyText"/>
      </w:pPr>
      <m:oMath>
        <m:d>
          <m:dPr>
            <m:begChr m:val="("/>
            <m:endChr m:val=")"/>
            <m:sepChr m:val=""/>
            <m:grow/>
          </m:dPr>
          <m:e>
            <m:r>
              <m:rPr>
                <m:nor/>
                <m:sty m:val="p"/>
              </m:rPr>
              <m:t>-</m:t>
            </m:r>
            <m:r>
              <m:t>6</m:t>
            </m:r>
          </m:e>
        </m:d>
        <m:r>
          <m:rPr>
            <m:sty m:val="p"/>
          </m:rPr>
          <m:t>−</m:t>
        </m:r>
        <m:r>
          <m:t>8</m:t>
        </m:r>
        <m:r>
          <m:rPr>
            <m:sty m:val="p"/>
          </m:rPr>
          <m:t>=</m:t>
        </m:r>
        <m:r>
          <m:rPr>
            <m:nor/>
            <m:sty m:val="p"/>
          </m:rPr>
          <m:t>-</m:t>
        </m:r>
        <m:r>
          <m:t>14</m:t>
        </m:r>
      </m:oMath>
    </w:p>
    <w:p>
      <w:pPr>
        <w:pStyle w:val="BodyText"/>
      </w:pPr>
      <w:r>
        <w:t xml:space="preserve">In general, the distance between two numbers</w:t>
      </w:r>
      <w:r>
        <w:t xml:space="preserve"> </w:t>
      </w:r>
      <m:oMath>
        <m:r>
          <m:t>a</m:t>
        </m:r>
      </m:oMath>
      <w:r>
        <w:t xml:space="preserve"> </w:t>
      </w:r>
      <w:r>
        <w:t xml:space="preserve">and</w:t>
      </w:r>
      <w:r>
        <w:t xml:space="preserve"> </w:t>
      </w:r>
      <m:oMath>
        <m:r>
          <m:t>b</m:t>
        </m:r>
      </m:oMath>
      <w:r>
        <w:t xml:space="preserve"> </w:t>
      </w:r>
      <w:r>
        <w:t xml:space="preserve">on the number line is</w:t>
      </w:r>
      <w:r>
        <w:t xml:space="preserve"> </w:t>
      </w:r>
      <m:oMath>
        <m:d>
          <m:dPr>
            <m:begChr m:val="|"/>
            <m:endChr m:val="|"/>
            <m:sepChr m:val=""/>
            <m:grow/>
          </m:dPr>
          <m:e>
            <m:r>
              <m:t>a</m:t>
            </m:r>
            <m:r>
              <m:rPr>
                <m:sty m:val="p"/>
              </m:rPr>
              <m:t>−</m:t>
            </m:r>
            <m:r>
              <m:t>b</m:t>
            </m:r>
          </m:e>
        </m:d>
      </m:oMath>
      <w:r>
        <w:t xml:space="preserve">. Note that the</w:t>
      </w:r>
      <w:r>
        <w:t xml:space="preserve"> </w:t>
      </w:r>
      <w:r>
        <w:rPr>
          <w:iCs/>
          <w:i/>
        </w:rPr>
        <w:t xml:space="preserve">distance</w:t>
      </w:r>
      <w:r>
        <w:t xml:space="preserve"> </w:t>
      </w:r>
      <w:r>
        <w:t xml:space="preserve">between two numbers is always positive, no matter the order. But the</w:t>
      </w:r>
      <w:r>
        <w:t xml:space="preserve"> </w:t>
      </w:r>
      <w:r>
        <w:rPr>
          <w:iCs/>
          <w:i/>
        </w:rPr>
        <w:t xml:space="preserve">difference</w:t>
      </w:r>
      <w:r>
        <w:t xml:space="preserve"> </w:t>
      </w:r>
      <w:r>
        <w:t xml:space="preserve">can be positive or negative, depending on the order.</w:t>
      </w:r>
    </w:p>
    <w:p>
      <w:pPr>
        <w:pStyle w:val="BodyText"/>
      </w:pPr>
      <w:r>
        <w:t xml:space="preserve">Sometimes we use positive and negative numbers to represent quantities in context. Here are some contexts we have studied that can be represented with positive and negative numbers:</w:t>
      </w:r>
    </w:p>
    <w:p>
      <w:pPr>
        <w:numPr>
          <w:ilvl w:val="0"/>
          <w:numId w:val="1003"/>
        </w:numPr>
        <w:pStyle w:val="Compact"/>
      </w:pPr>
      <w:r>
        <w:t xml:space="preserve">temperature</w:t>
      </w:r>
    </w:p>
    <w:p>
      <w:pPr>
        <w:numPr>
          <w:ilvl w:val="0"/>
          <w:numId w:val="1003"/>
        </w:numPr>
        <w:pStyle w:val="Compact"/>
      </w:pPr>
      <w:r>
        <w:t xml:space="preserve">elevation</w:t>
      </w:r>
    </w:p>
    <w:p>
      <w:pPr>
        <w:numPr>
          <w:ilvl w:val="0"/>
          <w:numId w:val="1003"/>
        </w:numPr>
        <w:pStyle w:val="Compact"/>
      </w:pPr>
      <w:r>
        <w:t xml:space="preserve">inventory</w:t>
      </w:r>
    </w:p>
    <w:p>
      <w:pPr>
        <w:numPr>
          <w:ilvl w:val="0"/>
          <w:numId w:val="1003"/>
        </w:numPr>
        <w:pStyle w:val="Compact"/>
      </w:pPr>
      <w:r>
        <w:t xml:space="preserve">an account balance</w:t>
      </w:r>
    </w:p>
    <w:p>
      <w:pPr>
        <w:numPr>
          <w:ilvl w:val="0"/>
          <w:numId w:val="1003"/>
        </w:numPr>
        <w:pStyle w:val="Compact"/>
      </w:pPr>
      <w:r>
        <w:t xml:space="preserve">electricity flowing in and flowing out</w:t>
      </w:r>
    </w:p>
    <w:p>
      <w:pPr>
        <w:pStyle w:val="FirstParagraph"/>
      </w:pPr>
      <w:r>
        <w:t xml:space="preserve">In these situations, using positive and negative numbers, and operations on positive and negative numbers, helps us understand and analyze them. To solve problems in these situations, we just have to understand what it means when the quantity is positive, when it is negative, and what it means to add and subtract them.</w:t>
      </w:r>
    </w:p>
    <w:p>
      <w:pPr>
        <w:pStyle w:val="BodyText"/>
      </w:pPr>
      <w:r>
        <w:drawing>
          <wp:inline>
            <wp:extent cx="762000" cy="266700"/>
            <wp:effectExtent b="0" l="0" r="0" t="0"/>
            <wp:docPr descr="" title="" id="36" name="Picture"/>
            <a:graphic>
              <a:graphicData uri="http://schemas.openxmlformats.org/drawingml/2006/picture">
                <pic:pic>
                  <pic:nvPicPr>
                    <pic:cNvPr descr="/app/app/assets/images/export/ccby_logo_small.png" id="37" name="Picture"/>
                    <pic:cNvPicPr>
                      <a:picLocks noChangeArrowheads="1" noChangeAspect="1"/>
                    </pic:cNvPicPr>
                  </pic:nvPicPr>
                  <pic:blipFill>
                    <a:blip r:embed="rId3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5" Target="media/rId35.png" /><Relationship Type="http://schemas.openxmlformats.org/officeDocument/2006/relationships/image" Id="rId22" Target="media/rId22.png" /><Relationship Type="http://schemas.openxmlformats.org/officeDocument/2006/relationships/image" Id="rId29" Target="media/rId29.png" /><Relationship Type="http://schemas.openxmlformats.org/officeDocument/2006/relationships/image" Id="rId32" Target="media/rId3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2022-12-15T03:51:56Z</dcterms:created>
  <dcterms:modified xsi:type="dcterms:W3CDTF">2022-12-15T03:51:56Z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L/K+qP1jIdbkoG8CbhEe1dtcM4HmdTE+8WuQJtB839nMvETvkUCuAuwzxY+/F58Q52x7LbvsSenkd1bBRxGJcQ==</vt:lpwstr>
  </property>
</Properties>
</file>