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Xd7de9de70aae06647009ce2f5fed079f0c5cf79"/>
    <w:p>
      <w:pPr>
        <w:pStyle w:val="Heading1"/>
      </w:pPr>
      <w:r>
        <w:t xml:space="preserve">Lesson 3: Multipliquemos fracciones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product of 2 unit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ecuaciones.</w:t>
      </w:r>
    </w:p>
    <w:bookmarkEnd w:id="25"/>
    <w:bookmarkStart w:id="26" w:name="lesson-purpose"/>
    <w:p>
      <w:pPr>
        <w:pStyle w:val="Heading3"/>
      </w:pPr>
      <w:r>
        <w:t xml:space="preserve">Lesson Purpose</w:t>
      </w:r>
    </w:p>
    <w:p>
      <w:pPr>
        <w:pStyle w:val="FirstParagraph"/>
      </w:pPr>
      <w:r>
        <w:t xml:space="preserve">The purpose of this lesson is for students to represent products of unit fractions using diagrams and equations.</w:t>
      </w:r>
    </w:p>
    <w:p>
      <w:pPr>
        <w:pStyle w:val="BodyText"/>
      </w:pPr>
      <w:r>
        <w:t xml:space="preserve">In previous lessons students represented products of unit fractions with diagrams and expressions. </w:t>
      </w:r>
      <w:r>
        <w:t xml:space="preserve">In this lesson students connect the diagrams and expressions, using the structure of the diagram to calculate the value of the expression. Students use the diagrams to find the value of many expressions and, toward the end of the lesson, they find the value of an expression, representing a product of unit fractions, without being given a diagram.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Estimation Exploration (Warm-up), MLR1 Stronger and Clearer Each Time (Activity 2)</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Some students may be multiplying the numerators and denominators without considering why this strategy works. Why is it important for students to understand how the diagrams represent products of fractions? What questions can you ask to help students connect the diagrams to the procedures they are using?</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Ecuaciones de multiplicación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39"/>
    <w:bookmarkStart w:id="43" w:name="student-facing-task-statement"/>
    <w:p>
      <w:pPr>
        <w:pStyle w:val="Heading3"/>
      </w:pPr>
      <w:r>
        <w:t xml:space="preserve">Student-facing Task Statement</w:t>
      </w:r>
    </w:p>
    <w:p>
      <w:pPr>
        <w:numPr>
          <w:ilvl w:val="0"/>
          <w:numId w:val="1004"/>
        </w:numPr>
      </w:pPr>
      <w:r>
        <w:t xml:space="preserve">Escribe una ecuación de multiplicación que represente la parte coloreada de la figura. Explica o muestra tu razonamiento.</w:t>
      </w:r>
    </w:p>
    <w:p>
      <w:pPr>
        <w:numPr>
          <w:ilvl w:val="0"/>
          <w:numId w:val="1000"/>
        </w:numPr>
        <w:pStyle w:val="Compact"/>
      </w:pPr>
      <w:r>
        <w:drawing>
          <wp:inline>
            <wp:extent cx="2228824" cy="2169401"/>
            <wp:effectExtent b="0" l="0" r="0" t="0"/>
            <wp:docPr descr="Square, length and width, 1. Partitioned into 3 rows of 3 of the same size squares. 1 square shaded. " title="" id="41" name="Picture"/>
            <a:graphic>
              <a:graphicData uri="http://schemas.openxmlformats.org/drawingml/2006/picture">
                <pic:pic>
                  <pic:nvPicPr>
                    <pic:cNvPr descr="/app/tmp/embedder-1671065577.802323.png" id="42" name="Picture"/>
                    <pic:cNvPicPr>
                      <a:picLocks noChangeArrowheads="1" noChangeAspect="1"/>
                    </pic:cNvPicPr>
                  </pic:nvPicPr>
                  <pic:blipFill>
                    <a:blip r:embed="rId40"/>
                    <a:stretch>
                      <a:fillRect/>
                    </a:stretch>
                  </pic:blipFill>
                  <pic:spPr bwMode="auto">
                    <a:xfrm>
                      <a:off x="0" y="0"/>
                      <a:ext cx="2228824" cy="2169401"/>
                    </a:xfrm>
                    <a:prstGeom prst="rect">
                      <a:avLst/>
                    </a:prstGeom>
                    <a:noFill/>
                    <a:ln w="9525">
                      <a:noFill/>
                      <a:headEnd/>
                      <a:tailEnd/>
                    </a:ln>
                  </pic:spPr>
                </pic:pic>
              </a:graphicData>
            </a:graphic>
          </wp:inline>
        </w:drawing>
      </w:r>
    </w:p>
    <w:p>
      <w:pPr>
        <w:numPr>
          <w:ilvl w:val="0"/>
          <w:numId w:val="1004"/>
        </w:numPr>
        <w:pStyle w:val="Compact"/>
      </w:pPr>
      <w:r>
        <w:t xml:space="preserve">Completa cada ecuación. Si te ayuda, dibuja un diagrama.</w:t>
      </w:r>
    </w:p>
    <w:p>
      <w:pPr>
        <w:numPr>
          <w:ilvl w:val="1"/>
          <w:numId w:val="1005"/>
        </w:numPr>
        <w:pStyle w:val="Compact"/>
      </w:pPr>
      <m:oMath>
        <m:f>
          <m:fPr>
            <m:type m:val="bar"/>
          </m:fPr>
          <m:num>
            <m:r>
              <m:t>1</m:t>
            </m:r>
          </m:num>
          <m:den>
            <m:r>
              <m:t>5</m:t>
            </m:r>
          </m:den>
        </m:f>
        <m:r>
          <m:rPr>
            <m:sty m:val="p"/>
          </m:rPr>
          <m:t>×</m:t>
        </m:r>
        <m:f>
          <m:fPr>
            <m:type m:val="bar"/>
          </m:fPr>
          <m:num>
            <m:r>
              <m:t>1</m:t>
            </m:r>
          </m:num>
          <m:den>
            <m:r>
              <m:t>4</m:t>
            </m:r>
          </m:den>
        </m:f>
        <m:r>
          <m:rPr>
            <m:sty m:val="p"/>
          </m:rPr>
          <m:t>=</m:t>
        </m:r>
        <m:limLow>
          <m:e>
            <m:r>
              <m:t> </m:t>
            </m:r>
          </m:e>
          <m:lim>
            <m:r>
              <m:rPr>
                <m:sty m:val="p"/>
              </m:rPr>
              <m:t>_</m:t>
            </m:r>
          </m:lim>
        </m:limLow>
      </m:oMath>
    </w:p>
    <w:p>
      <w:pPr>
        <w:numPr>
          <w:ilvl w:val="1"/>
          <w:numId w:val="1005"/>
        </w:numPr>
        <w:pStyle w:val="Compact"/>
      </w:pPr>
      <m:oMath>
        <m:f>
          <m:fPr>
            <m:type m:val="bar"/>
          </m:fPr>
          <m:num>
            <m:r>
              <m:t>1</m:t>
            </m:r>
          </m:num>
          <m:den>
            <m:r>
              <m:t>2</m:t>
            </m:r>
          </m:den>
        </m:f>
        <m:r>
          <m:rPr>
            <m:sty m:val="p"/>
          </m:rPr>
          <m:t>×</m:t>
        </m:r>
        <m:f>
          <m:fPr>
            <m:type m:val="bar"/>
          </m:fPr>
          <m:num>
            <m:r>
              <m:t>1</m:t>
            </m:r>
          </m:num>
          <m:den>
            <m:r>
              <m:t>6</m:t>
            </m:r>
          </m:den>
        </m:f>
        <m:r>
          <m:rPr>
            <m:sty m:val="p"/>
          </m:rPr>
          <m:t>=</m:t>
        </m:r>
        <m:limLow>
          <m:e>
            <m:r>
              <m:t> </m:t>
            </m:r>
          </m:e>
          <m:lim>
            <m:r>
              <m:rPr>
                <m:sty m:val="p"/>
              </m:rPr>
              <m:t>_</m:t>
            </m:r>
          </m:lim>
        </m:limLow>
      </m:oMath>
    </w:p>
    <w:bookmarkEnd w:id="43"/>
    <w:bookmarkStart w:id="44" w:name="student-responses"/>
    <w:p>
      <w:pPr>
        <w:pStyle w:val="Heading3"/>
      </w:pPr>
      <w:r>
        <w:t xml:space="preserve">Student Responses</w:t>
      </w:r>
    </w:p>
    <w:p>
      <w:pPr>
        <w:numPr>
          <w:ilvl w:val="0"/>
          <w:numId w:val="1006"/>
        </w:numPr>
        <w:pStyle w:val="Compact"/>
      </w:pPr>
      <m:oMath>
        <m:f>
          <m:fPr>
            <m:type m:val="bar"/>
          </m:fPr>
          <m:num>
            <m:r>
              <m:t>1</m:t>
            </m:r>
          </m:num>
          <m:den>
            <m:r>
              <m:t>3</m:t>
            </m:r>
          </m:den>
        </m:f>
        <m:r>
          <m:rPr>
            <m:sty m:val="p"/>
          </m:rPr>
          <m:t>×</m:t>
        </m:r>
        <m:f>
          <m:fPr>
            <m:type m:val="bar"/>
          </m:fPr>
          <m:num>
            <m:r>
              <m:t>1</m:t>
            </m:r>
          </m:num>
          <m:den>
            <m:r>
              <m:t>3</m:t>
            </m:r>
          </m:den>
        </m:f>
        <m:r>
          <m:rPr>
            <m:sty m:val="p"/>
          </m:rPr>
          <m:t>=</m:t>
        </m:r>
        <m:f>
          <m:fPr>
            <m:type m:val="bar"/>
          </m:fPr>
          <m:num>
            <m:r>
              <m:t>1</m:t>
            </m:r>
          </m:num>
          <m:den>
            <m:r>
              <m:t>9</m:t>
            </m:r>
          </m:den>
        </m:f>
      </m:oMath>
      <w:r>
        <w:t xml:space="preserve"> </w:t>
      </w:r>
      <w:r>
        <w:t xml:space="preserve">since there is</w:t>
      </w:r>
      <w:r>
        <w:t xml:space="preserve"> </w:t>
      </w:r>
      <m:oMath>
        <m:f>
          <m:fPr>
            <m:type m:val="bar"/>
          </m:fPr>
          <m:num>
            <m:r>
              <m:t>1</m:t>
            </m:r>
          </m:num>
          <m:den>
            <m:r>
              <m:t>3</m:t>
            </m:r>
          </m:den>
        </m:f>
      </m:oMath>
      <w:r>
        <w:t xml:space="preserve"> </w:t>
      </w:r>
      <w:r>
        <w:t xml:space="preserve">of a column shaded and that column is</w:t>
      </w:r>
      <w:r>
        <w:t xml:space="preserve"> </w:t>
      </w:r>
      <m:oMath>
        <m:f>
          <m:fPr>
            <m:type m:val="bar"/>
          </m:fPr>
          <m:num>
            <m:r>
              <m:t>1</m:t>
            </m:r>
          </m:num>
          <m:den>
            <m:r>
              <m:t>3</m:t>
            </m:r>
          </m:den>
        </m:f>
      </m:oMath>
      <w:r>
        <w:t xml:space="preserve"> </w:t>
      </w:r>
      <w:r>
        <w:t xml:space="preserve">of the square. The shaded piece is</w:t>
      </w:r>
      <w:r>
        <w:t xml:space="preserve"> </w:t>
      </w:r>
      <m:oMath>
        <m:f>
          <m:fPr>
            <m:type m:val="bar"/>
          </m:fPr>
          <m:num>
            <m:r>
              <m:t>1</m:t>
            </m:r>
          </m:num>
          <m:den>
            <m:r>
              <m:t>9</m:t>
            </m:r>
          </m:den>
        </m:f>
      </m:oMath>
      <w:r>
        <w:t xml:space="preserve"> </w:t>
      </w:r>
      <w:r>
        <w:t xml:space="preserve">of the square.</w:t>
      </w:r>
    </w:p>
    <w:p>
      <w:pPr>
        <w:numPr>
          <w:ilvl w:val="0"/>
          <w:numId w:val="1006"/>
        </w:numPr>
        <w:pStyle w:val="Compact"/>
      </w:pPr>
      <w:r>
        <w:t xml:space="preserve"> </w:t>
      </w:r>
    </w:p>
    <w:p>
      <w:pPr>
        <w:numPr>
          <w:ilvl w:val="1"/>
          <w:numId w:val="1007"/>
        </w:numPr>
        <w:pStyle w:val="Compact"/>
      </w:pPr>
      <m:oMath>
        <m:f>
          <m:fPr>
            <m:type m:val="bar"/>
          </m:fPr>
          <m:num>
            <m:r>
              <m:t>1</m:t>
            </m:r>
          </m:num>
          <m:den>
            <m:r>
              <m:t>5</m:t>
            </m:r>
          </m:den>
        </m:f>
        <m:r>
          <m:rPr>
            <m:sty m:val="p"/>
          </m:rPr>
          <m:t>×</m:t>
        </m:r>
        <m:f>
          <m:fPr>
            <m:type m:val="bar"/>
          </m:fPr>
          <m:num>
            <m:r>
              <m:t>1</m:t>
            </m:r>
          </m:num>
          <m:den>
            <m:r>
              <m:t>4</m:t>
            </m:r>
          </m:den>
        </m:f>
        <m:r>
          <m:rPr>
            <m:sty m:val="p"/>
          </m:rPr>
          <m:t>=</m:t>
        </m:r>
        <m:f>
          <m:fPr>
            <m:type m:val="bar"/>
          </m:fPr>
          <m:num>
            <m:r>
              <m:t>1</m:t>
            </m:r>
          </m:num>
          <m:den>
            <m:r>
              <m:t>20</m:t>
            </m:r>
          </m:den>
        </m:f>
      </m:oMath>
    </w:p>
    <w:p>
      <w:pPr>
        <w:numPr>
          <w:ilvl w:val="1"/>
          <w:numId w:val="1007"/>
        </w:numPr>
        <w:pStyle w:val="Compact"/>
      </w:pPr>
      <m:oMath>
        <m:f>
          <m:fPr>
            <m:type m:val="bar"/>
          </m:fPr>
          <m:num>
            <m:r>
              <m:t>1</m:t>
            </m:r>
          </m:num>
          <m:den>
            <m:r>
              <m:t>2</m:t>
            </m:r>
          </m:den>
        </m:f>
        <m:r>
          <m:rPr>
            <m:sty m:val="p"/>
          </m:rPr>
          <m:t>×</m:t>
        </m:r>
        <m:f>
          <m:fPr>
            <m:type m:val="bar"/>
          </m:fPr>
          <m:num>
            <m:r>
              <m:t>1</m:t>
            </m:r>
          </m:num>
          <m:den>
            <m:r>
              <m:t>6</m:t>
            </m:r>
          </m:den>
        </m:f>
        <m:r>
          <m:rPr>
            <m:sty m:val="p"/>
          </m:rPr>
          <m:t>=</m:t>
        </m:r>
        <m:f>
          <m:fPr>
            <m:type m:val="bar"/>
          </m:fPr>
          <m:num>
            <m:r>
              <m:t>1</m:t>
            </m:r>
          </m:num>
          <m:den>
            <m:r>
              <m:t>12</m:t>
            </m:r>
          </m:den>
        </m:f>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2022-12-15T00:52:58Z</dcterms:created>
  <dcterms:modified xsi:type="dcterms:W3CDTF">2022-12-15T00:52:58Z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a2eCV4gXYRh9zyNBZVJRQpFqMayZjAiYbc/sq9YT/qpPY8cO5J+ZRbgrgF80Nn0qqIJIKo0GVYPoRQnbohz99w==</vt:lpwstr>
  </property>
</Properties>
</file>