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2.svg" ContentType="image/svg+xml;base64"/>
  <Override PartName="/word/media/rId28.svg" ContentType="image/svg+xml;base64"/>
  <Override PartName="/word/media/rId40.svg" ContentType="image/svg+xml;base64"/>
  <Override PartName="/word/media/rId20.svg" ContentType="image/svg+xml;base64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drawing>
          <wp:inline>
            <wp:extent cx="3810000" cy="25400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data:image/svg+xml;base64,PHN2ZyBoZWlnaHQ9IjAuM2luIiB4bWxucz0iaHR0cDovL3d3dy53My5vcmcv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%0AWiIvPgogIDwvZz4KPC9zdmc+%0A" id="22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Start w:id="47" w:name="X7996d461e2f571a3d48bd9d854169eca6640d65"/>
    <w:p>
      <w:pPr>
        <w:pStyle w:val="Heading1"/>
      </w:pPr>
      <w:r>
        <w:t xml:space="preserve">Lesson 21: Compose and Decompose Numbers 11–19</w:t>
      </w:r>
    </w:p>
    <w:bookmarkStart w:id="23" w:name="standards-alignments"/>
    <w:p>
      <w:pPr>
        <w:pStyle w:val="Heading3"/>
      </w:pPr>
      <w:r>
        <w:t xml:space="preserve">Standards Alignments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Addressing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K.CC.B.5, K.NBT.A.1</w:t>
            </w:r>
          </w:p>
        </w:tc>
      </w:tr>
    </w:tbl>
    <w:bookmarkEnd w:id="23"/>
    <w:bookmarkStart w:id="24" w:name="teacher-facing-learning-goals"/>
    <w:p>
      <w:pPr>
        <w:pStyle w:val="Heading3"/>
      </w:pPr>
      <w:r>
        <w:t xml:space="preserve">Teacher-facing Learning Goals</w:t>
      </w:r>
    </w:p>
    <w:p>
      <w:pPr>
        <w:numPr>
          <w:ilvl w:val="0"/>
          <w:numId w:val="1001"/>
        </w:numPr>
        <w:pStyle w:val="Compact"/>
      </w:pPr>
      <w:r>
        <w:t xml:space="preserve">Compose and decompose numbers 11–19 using 10 ones and some more ones.</w:t>
      </w:r>
    </w:p>
    <w:bookmarkEnd w:id="24"/>
    <w:bookmarkStart w:id="25" w:name="student-facing-learning-goals"/>
    <w:p>
      <w:pPr>
        <w:pStyle w:val="Heading3"/>
      </w:pPr>
      <w:r>
        <w:t xml:space="preserve">Student-facing Learning Goals</w:t>
      </w:r>
    </w:p>
    <w:p>
      <w:pPr>
        <w:numPr>
          <w:ilvl w:val="0"/>
          <w:numId w:val="1002"/>
        </w:numPr>
        <w:pStyle w:val="Compact"/>
      </w:pPr>
      <w:r>
        <w:t xml:space="preserve">Let’s make groups of 10.</w:t>
      </w:r>
    </w:p>
    <w:bookmarkEnd w:id="25"/>
    <w:bookmarkStart w:id="26" w:name="lesson-purpose"/>
    <w:p>
      <w:pPr>
        <w:pStyle w:val="Heading3"/>
      </w:pPr>
      <w:r>
        <w:t xml:space="preserve">Lesson Purpose</w:t>
      </w:r>
    </w:p>
    <w:p>
      <w:pPr>
        <w:pStyle w:val="FirstParagraph"/>
      </w:pPr>
      <w:r>
        <w:t xml:space="preserve">The purpose of this lesson is for students to compose and decompose numbers 11–19 using 10 ones and some more ones.</w:t>
      </w:r>
    </w:p>
    <w:p>
      <w:pPr>
        <w:pStyle w:val="BodyText"/>
      </w:pPr>
      <w:r>
        <w:t xml:space="preserve">In the first activity, students decompose groups of 11–19 objects into groups of 10 ones and some more ones. Then students determine the missing part to compose numbers 11–19.</w:t>
      </w:r>
    </w:p>
    <w:p>
      <w:pPr>
        <w:pStyle w:val="BodyText"/>
      </w:pPr>
      <w:r>
        <w:t xml:space="preserve">If students need additional support with the concepts in this lesson, refer back to Unit 6, Section B in the curriculum materials.</w:t>
      </w:r>
    </w:p>
    <w:p>
      <w:pPr>
        <w:pStyle w:val="BodyText"/>
      </w:pPr>
      <w:r>
        <w:t xml:space="preserve">This lesson has a Student Section Summary.</w:t>
      </w:r>
    </w:p>
    <w:bookmarkEnd w:id="26"/>
    <w:bookmarkStart w:id="27" w:name="access-for"/>
    <w:p>
      <w:pPr>
        <w:pStyle w:val="Heading3"/>
      </w:pPr>
      <w:r>
        <w:t xml:space="preserve">Access for:</w:t>
      </w:r>
    </w:p>
    <w:bookmarkEnd w:id="27"/>
    <w:bookmarkStart w:id="31" w:name="students-with-disabilities"/>
    <w:p>
      <w:pPr>
        <w:pStyle w:val="Heading3"/>
      </w:pPr>
      <w:r>
        <w:drawing>
          <wp:inline>
            <wp:extent cx="3810000" cy="254000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+Cjwvc3ZnPg==" id="30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8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Students with Disabilities</w:t>
      </w:r>
    </w:p>
    <w:p>
      <w:pPr>
        <w:numPr>
          <w:ilvl w:val="0"/>
          <w:numId w:val="1003"/>
        </w:numPr>
        <w:pStyle w:val="Compact"/>
      </w:pPr>
      <w:r>
        <w:t xml:space="preserve">Action and Expression (Activity 1)</w:t>
      </w:r>
    </w:p>
    <w:bookmarkEnd w:id="31"/>
    <w:bookmarkStart w:id="35" w:name="english-learners"/>
    <w:p>
      <w:pPr>
        <w:pStyle w:val="Heading3"/>
      </w:pPr>
      <w:r>
        <w:drawing>
          <wp:inline>
            <wp:extent cx="3810000" cy="2540000"/>
            <wp:effectExtent b="0" l="0" r="0" t="0"/>
            <wp:docPr descr="" title="" id="33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+PC9wYXRoPgo8L3N2Zz4=" id="34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32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English Learners</w:t>
      </w:r>
    </w:p>
    <w:p>
      <w:pPr>
        <w:numPr>
          <w:ilvl w:val="0"/>
          <w:numId w:val="1004"/>
        </w:numPr>
        <w:pStyle w:val="Compact"/>
      </w:pPr>
      <w:r>
        <w:t xml:space="preserve">MLR8 (Activity 1)</w:t>
      </w:r>
    </w:p>
    <w:bookmarkEnd w:id="35"/>
    <w:bookmarkStart w:id="36" w:name="instructional-routines"/>
    <w:p>
      <w:pPr>
        <w:pStyle w:val="Heading3"/>
      </w:pPr>
      <w:r>
        <w:t xml:space="preserve">Instructional Routines</w:t>
      </w:r>
    </w:p>
    <w:p>
      <w:pPr>
        <w:pStyle w:val="FirstParagraph"/>
      </w:pPr>
      <w:r>
        <w:t xml:space="preserve">Which One Doesn’t Belong? (Warm-up)</w:t>
      </w:r>
    </w:p>
    <w:bookmarkEnd w:id="36"/>
    <w:bookmarkStart w:id="37" w:name="materials-to-gather"/>
    <w:p>
      <w:pPr>
        <w:pStyle w:val="Heading3"/>
      </w:pPr>
      <w:r>
        <w:t xml:space="preserve">Materials to Gather</w:t>
      </w:r>
    </w:p>
    <w:p>
      <w:pPr>
        <w:numPr>
          <w:ilvl w:val="0"/>
          <w:numId w:val="1005"/>
        </w:numPr>
        <w:pStyle w:val="Compact"/>
      </w:pPr>
      <w:r>
        <w:t xml:space="preserve">10-frames: Activity 2</w:t>
      </w:r>
    </w:p>
    <w:p>
      <w:pPr>
        <w:numPr>
          <w:ilvl w:val="0"/>
          <w:numId w:val="1005"/>
        </w:numPr>
        <w:pStyle w:val="Compact"/>
      </w:pPr>
      <w:r>
        <w:t xml:space="preserve">Collections of objects: Activity 1</w:t>
      </w:r>
    </w:p>
    <w:p>
      <w:pPr>
        <w:numPr>
          <w:ilvl w:val="0"/>
          <w:numId w:val="1005"/>
        </w:numPr>
        <w:pStyle w:val="Compact"/>
      </w:pPr>
      <w:r>
        <w:t xml:space="preserve">Connecting cubes or two-color counters: Activity 2</w:t>
      </w:r>
    </w:p>
    <w:p>
      <w:pPr>
        <w:numPr>
          <w:ilvl w:val="0"/>
          <w:numId w:val="1005"/>
        </w:numPr>
        <w:pStyle w:val="Compact"/>
      </w:pPr>
      <w:r>
        <w:t xml:space="preserve">Materials from a previous lesson: Activity 2</w:t>
      </w:r>
    </w:p>
    <w:p>
      <w:pPr>
        <w:numPr>
          <w:ilvl w:val="0"/>
          <w:numId w:val="1005"/>
        </w:numPr>
        <w:pStyle w:val="Compact"/>
      </w:pPr>
      <w:r>
        <w:t xml:space="preserve">Materials from previous centers: Activity 3</w:t>
      </w:r>
    </w:p>
    <w:bookmarkEnd w:id="37"/>
    <w:bookmarkStart w:id="38" w:name="lesson-timeline"/>
    <w:p>
      <w:pPr>
        <w:pStyle w:val="Heading3"/>
      </w:pPr>
      <w:r>
        <w:t xml:space="preserve">Lesson Timeline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Warm-up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Lesson Synthesis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 min</w:t>
            </w:r>
          </w:p>
        </w:tc>
      </w:tr>
    </w:tbl>
    <w:bookmarkEnd w:id="38"/>
    <w:bookmarkStart w:id="39" w:name="teacher-reflection-question"/>
    <w:p>
      <w:pPr>
        <w:pStyle w:val="Heading3"/>
      </w:pPr>
      <w:r>
        <w:t xml:space="preserve">Teacher Reflection Question</w:t>
      </w:r>
    </w:p>
    <w:p>
      <w:pPr>
        <w:pStyle w:val="FirstParagraph"/>
      </w:pPr>
      <w:r>
        <w:t xml:space="preserve">As you finish up this unit, reflect on the norms and activities that have supported each student in learning math. How have you seen each student grow as a young mathematician throughout this work? How have you seen yourself grow as a teacher?</w:t>
      </w:r>
    </w:p>
    <w:p>
      <w:r>
        <w:pict>
          <v:rect style="width:0;height:1.5pt" o:hralign="center" o:hrstd="t" o:hr="t"/>
        </w:pict>
      </w:r>
    </w:p>
    <w:bookmarkEnd w:id="39"/>
    <w:bookmarkStart w:id="43" w:name="cool-down"/>
    <w:p>
      <w:pPr>
        <w:pStyle w:val="Heading2"/>
      </w:pPr>
      <w:r>
        <w:t xml:space="preserve">Cool-down</w:t>
      </w:r>
    </w:p>
    <w:p>
      <w:pPr>
        <w:pStyle w:val="FirstParagraph"/>
      </w:pPr>
      <w:r>
        <w:t xml:space="preserve">(to be completed at the end of the lesson)</w:t>
      </w:r>
      <w:r>
        <w:t xml:space="preserve"> </w:t>
      </w:r>
      <w:r>
        <w:drawing>
          <wp:inline>
            <wp:extent cx="3810000" cy="2540000"/>
            <wp:effectExtent b="0" l="0" r="0" t="0"/>
            <wp:docPr descr="" title="" id="41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+PC9wYXRoPgogIDwvc3ZnPg==" id="42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4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0</w:t>
      </w:r>
      <w:r>
        <w:t xml:space="preserve">min</w:t>
      </w:r>
    </w:p>
    <w:p>
      <w:pPr>
        <w:pStyle w:val="BodyText"/>
      </w:pPr>
      <w:r>
        <w:t xml:space="preserve">Unit 8, Section D Checkpoint</w:t>
      </w:r>
    </w:p>
    <w:bookmarkEnd w:id="43"/>
    <w:bookmarkStart w:id="44" w:name="standards-alignments-1"/>
    <w:p>
      <w:pPr>
        <w:pStyle w:val="Heading3"/>
      </w:pPr>
      <w:r>
        <w:t xml:space="preserve">Standards Alignments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Addressing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K.NBT.A.1</w:t>
            </w:r>
          </w:p>
        </w:tc>
      </w:tr>
    </w:tbl>
    <w:bookmarkEnd w:id="44"/>
    <w:bookmarkStart w:id="45" w:name="student-facing-task-statement"/>
    <w:p>
      <w:pPr>
        <w:pStyle w:val="Heading3"/>
      </w:pPr>
      <w:r>
        <w:t xml:space="preserve">Student-facing Task Statement</w:t>
      </w:r>
    </w:p>
    <w:p>
      <w:pPr>
        <w:pStyle w:val="FirstParagraph"/>
      </w:pPr>
      <w:r>
        <w:t xml:space="preserve">Lesson observations</w:t>
      </w:r>
    </w:p>
    <w:bookmarkEnd w:id="45"/>
    <w:bookmarkStart w:id="46" w:name="student-responses"/>
    <w:p>
      <w:pPr>
        <w:pStyle w:val="Heading3"/>
      </w:pPr>
      <w:r>
        <w:t xml:space="preserve">Student Responses</w:t>
      </w:r>
    </w:p>
    <w:p>
      <w:pPr>
        <w:numPr>
          <w:ilvl w:val="0"/>
          <w:numId w:val="1006"/>
        </w:numPr>
        <w:pStyle w:val="Compact"/>
      </w:pPr>
      <w:r>
        <w:t xml:space="preserve">Use 10 as a benchmark to compose and decompose numbers in different ways.</w:t>
      </w:r>
    </w:p>
    <w:p>
      <w:pPr>
        <w:numPr>
          <w:ilvl w:val="0"/>
          <w:numId w:val="1006"/>
        </w:numPr>
        <w:pStyle w:val="Compact"/>
      </w:pPr>
      <w:r>
        <w:t xml:space="preserve">Relate equations to compositions and decompositions of numbers.</w:t>
      </w:r>
    </w:p>
    <w:p>
      <w:pPr>
        <w:numPr>
          <w:ilvl w:val="0"/>
          <w:numId w:val="1006"/>
        </w:numPr>
        <w:pStyle w:val="Compact"/>
      </w:pPr>
      <w:r>
        <w:t xml:space="preserve">Use 10 as a benchmark to estimate and count.</w:t>
      </w:r>
    </w:p>
    <w:bookmarkEnd w:id="46"/>
    <w:bookmarkEnd w:id="47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2" Target="media/rId32.svg" /><Relationship Type="http://schemas.openxmlformats.org/officeDocument/2006/relationships/image" Id="rId28" Target="media/rId28.svg" /><Relationship Type="http://schemas.openxmlformats.org/officeDocument/2006/relationships/image" Id="rId40" Target="media/rId40.svg" /><Relationship Type="http://schemas.openxmlformats.org/officeDocument/2006/relationships/image" Id="rId20" Target="media/rId20.sv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2022-12-14T09:07:30Z</dcterms:created>
  <dcterms:modified xsi:type="dcterms:W3CDTF">2022-12-14T09:07:30Z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x10fSlRte4CVjgKheoE6XBatall6LRjxBeBw2b+yLLHjWVoTOOWD3VBqob8r5RY0L0UT326nReqAapWpy70v7A==</vt:lpwstr>
  </property>
</Properties>
</file>