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1" w:name="Xd38172ca27bd71314bf85ebe0a3d73091d5d146"/>
    <w:p>
      <w:pPr>
        <w:pStyle w:val="Heading1"/>
      </w:pPr>
      <w:r>
        <w:t xml:space="preserve">Lesson 21: Planificación de los asientos para una noche de juegos (Optional)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3.MD.B.3, 3.OA.A, 3.OA.A.3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Make choices and assumptions.</w:t>
      </w:r>
    </w:p>
    <w:p>
      <w:pPr>
        <w:numPr>
          <w:ilvl w:val="0"/>
          <w:numId w:val="1001"/>
        </w:numPr>
        <w:pStyle w:val="Compact"/>
      </w:pPr>
      <w:r>
        <w:t xml:space="preserve">Represent data using scaled bar graphs to communicate results.</w:t>
      </w:r>
    </w:p>
    <w:p>
      <w:pPr>
        <w:numPr>
          <w:ilvl w:val="0"/>
          <w:numId w:val="1001"/>
        </w:numPr>
        <w:pStyle w:val="Compact"/>
      </w:pPr>
      <w:r>
        <w:t xml:space="preserve">Solve real-world problems involving equal groups.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Planifiquemos una noche de juegos.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use their understanding of equal groups to solve a design problem.</w:t>
      </w:r>
    </w:p>
    <w:p>
      <w:pPr>
        <w:pStyle w:val="BodyText"/>
      </w:pPr>
      <w:r>
        <w:t xml:space="preserve">This lesson is optional because it does not address any new mathematical content standards. It does provide students with an opportunity to apply precursor skills of mathematical modeling.</w:t>
      </w:r>
    </w:p>
    <w:p>
      <w:pPr>
        <w:pStyle w:val="BodyText"/>
      </w:pPr>
      <w:r>
        <w:t xml:space="preserve">In previous lessons, students created scaled bar graphs and solved problems involving equal groups. In this lesson, they use these ideas as they make a seating arrangement.</w:t>
      </w:r>
    </w:p>
    <w:p>
      <w:pPr>
        <w:pStyle w:val="BodyText"/>
      </w:pPr>
      <w:r>
        <w:t xml:space="preserve">Students first examine a diagram showing equal groups and consider the situations it could represent. Upon learning that the diagram represents a seating chart, they consider the information needed to set up the seating arrangement for a game night. Students then plan a seating arrangement given some constraints—the total number of game tables and a combination of games that each involve a certain number of players—and create a display to present their solution. </w:t>
      </w:r>
      <w:r>
        <w:t xml:space="preserve">Finally, students create a scaled bar graph to represent the number of players that can play each game in their seating solution.</w:t>
      </w:r>
      <w:r>
        <w:t xml:space="preserve"> </w:t>
      </w:r>
      <w:r>
        <w:t xml:space="preserve">Throughout the lesson, students make sense of problems and persevere in solving them (MP1).</w:t>
      </w:r>
    </w:p>
    <w:p>
      <w:pPr>
        <w:pStyle w:val="BodyText"/>
      </w:pPr>
      <w:r>
        <w:t xml:space="preserve">Students model with mathematics as they define quantities and variables that are relevant in the situation, communicate their solution, and translate</w:t>
      </w:r>
      <w:r>
        <w:t xml:space="preserve"> a mathematical solution back into context (MP4).</w:t>
      </w:r>
      <w:r>
        <w:t xml:space="preserve"> 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1)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Notice and Wonder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counters: Activity 1</w:t>
      </w:r>
    </w:p>
    <w:p>
      <w:pPr>
        <w:numPr>
          <w:ilvl w:val="0"/>
          <w:numId w:val="1005"/>
        </w:numPr>
        <w:pStyle w:val="Compact"/>
      </w:pPr>
      <w:r>
        <w:t xml:space="preserve">Inch tiles: Activity 1</w:t>
      </w:r>
    </w:p>
    <w:p>
      <w:pPr>
        <w:numPr>
          <w:ilvl w:val="0"/>
          <w:numId w:val="1005"/>
        </w:numPr>
        <w:pStyle w:val="Compact"/>
      </w:pPr>
      <w:r>
        <w:t xml:space="preserve">Tools for creating a visual display: Activity 1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1</w:t>
      </w:r>
    </w:p>
    <w:p>
      <w:pPr>
        <w:numPr>
          <w:ilvl w:val="0"/>
          <w:numId w:val="1006"/>
        </w:numPr>
        <w:pStyle w:val="Compact"/>
      </w:pPr>
      <w:r>
        <w:t xml:space="preserve">Centimeter Grid Paper - Standard (groups of 2): Activity 2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How did the modeling task support collaboration between students?</w:t>
      </w:r>
    </w:p>
    <w:p>
      <w:r>
        <w:pict>
          <v:rect style="width:0;height:1.5pt" o:hralign="center" o:hrstd="t" o:hr="t"/>
        </w:pic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2022-12-14T23:54:38Z</dcterms:created>
  <dcterms:modified xsi:type="dcterms:W3CDTF">2022-12-14T23:54:38Z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ETnG4M3ND2gDKNPXHThr8OsOekpYY0Ajm9Bnd5r5Qc81PYO5oUX3NcbMcMlMXEeY0uYDzEzpHTgeWoIH7vZCkg==</vt:lpwstr>
  </property>
</Properties>
</file>