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figuras-que-son-planas"/>
    <w:p>
      <w:pPr>
        <w:pStyle w:val="Heading2"/>
      </w:pPr>
      <w:r>
        <w:t xml:space="preserve">Lección 3: Figuras que son planas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Clasifiquemos figuras planas y expliquemos cómo las clasificamos.</w:t>
      </w:r>
    </w:p>
    <w:bookmarkStart w:id="33" w:name="X9df946df1ba7ab6d905ef14fb953d4d962458a2"/>
    <w:p>
      <w:pPr>
        <w:pStyle w:val="Heading3"/>
      </w:pPr>
      <w:r>
        <w:t xml:space="preserve">Calentamiento: Cuál es diferente: Todas las figuras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560.78757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8288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560.8764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8288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560.9423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9561.024804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X3f8012a749ee2e7cdd3f70f8749d427e79e8fff"/>
    <w:p>
      <w:pPr>
        <w:pStyle w:val="Heading3"/>
      </w:pPr>
      <w:r>
        <w:t xml:space="preserve">3.2: Recorrido por el salón: Clasificación de figuras</w:t>
      </w:r>
    </w:p>
    <w:p>
      <w:pPr>
        <w:pStyle w:val="FirstParagraph"/>
      </w:pPr>
      <w:r>
        <w:t xml:space="preserve">Grupo 1: ellos clasificaron</w:t>
      </w:r>
    </w:p>
    <w:p>
      <w:pPr>
        <w:pStyle w:val="BodyText"/>
      </w:pPr>
      <w:r>
        <w:t xml:space="preserve">Grupo 2: ellos clasificaron</w:t>
      </w:r>
    </w:p>
    <w:p>
      <w:pPr>
        <w:pStyle w:val="BodyText"/>
      </w:pPr>
      <w:r>
        <w:t xml:space="preserve">Grupo 3: ellos clasificaron</w:t>
      </w:r>
    </w:p>
    <w:p>
      <w:pPr>
        <w:pStyle w:val="BodyText"/>
      </w:pPr>
      <w:r>
        <w:drawing>
          <wp:inline>
            <wp:extent cx="3263092" cy="226612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9561.088646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092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2022-12-14T23:12:41Z</dcterms:created>
  <dcterms:modified xsi:type="dcterms:W3CDTF">2022-12-14T23:12:41Z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GRyhB5lDcTOW8wlUZ8omU0UaVJreRAERqXcGYeS49bQ9GORe9cuJblMXqko2rgo7fPItHMrOXAos/eMRkLf26Q==</vt:lpwstr>
  </property>
</Properties>
</file>