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4e1dbf0285184179e37e7994a2742725be241"/>
    <w:p>
      <w:pPr>
        <w:pStyle w:val="Heading2"/>
      </w:pPr>
      <w:r>
        <w:t xml:space="preserve">Lección 14: Respondamos preguntas tipo “¿Cuántos?”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para descubrir cuántos objetos hay en nuestras colecciones. </w:t>
      </w:r>
    </w:p>
    <w:bookmarkStart w:id="42" w:name="X3466ad8efd51b672b44611161d1f05d4582c4a3"/>
    <w:p>
      <w:pPr>
        <w:pStyle w:val="Heading3"/>
      </w:pPr>
      <w:r>
        <w:t xml:space="preserve">14.3: Conozcamos “Cubos encajables: Consigue y construye”</w:t>
      </w:r>
    </w:p>
    <w:p>
      <w:pPr>
        <w:pStyle w:val="FirstParagraph"/>
      </w:pPr>
      <w:r>
        <w:drawing>
          <wp:inline>
            <wp:extent cx="5943600" cy="914400"/>
            <wp:effectExtent b="0" l="0" r="0" t="0"/>
            <wp:docPr descr="Number 4. Connecting cubes. Blue, 4." title="" id="22" name="Picture"/>
            <a:graphic>
              <a:graphicData uri="http://schemas.openxmlformats.org/drawingml/2006/picture">
                <pic:pic>
                  <pic:nvPicPr>
                    <pic:cNvPr descr="/app/tmp/embedder-1671056600.76082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Number 5. Connecting cubes. Green, 5." title="" id="25" name="Picture"/>
            <a:graphic>
              <a:graphicData uri="http://schemas.openxmlformats.org/drawingml/2006/picture">
                <pic:pic>
                  <pic:nvPicPr>
                    <pic:cNvPr descr="/app/tmp/embedder-1671056600.88587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6600.97981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56601.03620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601.14009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56601.227457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2022-12-14T22:23:21Z</dcterms:created>
  <dcterms:modified xsi:type="dcterms:W3CDTF">2022-12-14T22:23:21Z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RyGSaaSxd+8FSkTJJ6zKUE5E6IC+ok6FWTaJxQfsHPhjJdcwyDmPssCu59d2yOY4d6yRBqooE57cvGy1c+MfpQ==</vt:lpwstr>
  </property>
</Properties>
</file>