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4.png" ContentType="image/png"/>
  <Override PartName="/word/media/rId47.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2" w:name="lesson-3-division-situation-drawings"/>
    <w:p>
      <w:pPr>
        <w:pStyle w:val="Heading1"/>
      </w:pPr>
      <w:r>
        <w:t xml:space="preserve">Lesson 3: Division Situation Drawings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3.NBT.A.2, 3.OA.A.2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and relate drawings and descriptions of division situations.</w:t>
      </w:r>
    </w:p>
    <w:p>
      <w:pPr>
        <w:numPr>
          <w:ilvl w:val="0"/>
          <w:numId w:val="1001"/>
        </w:numPr>
        <w:pStyle w:val="Compact"/>
      </w:pPr>
      <w:r>
        <w:t xml:space="preserve">Understand that a division situation may involve finding an unknown number of groups or finding an unknown number of objects in each group.</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division situations with drawings.</w:t>
      </w:r>
    </w:p>
    <w:bookmarkEnd w:id="25"/>
    <w:bookmarkStart w:id="26" w:name="lesson-purpose"/>
    <w:p>
      <w:pPr>
        <w:pStyle w:val="Heading3"/>
      </w:pPr>
      <w:r>
        <w:t xml:space="preserve">Lesson Purpose</w:t>
      </w:r>
    </w:p>
    <w:p>
      <w:pPr>
        <w:pStyle w:val="FirstParagraph"/>
      </w:pPr>
      <w:r>
        <w:t xml:space="preserve">The purpose of this lesson is for students to interpret descriptions or drawings of division situations and recognize whether they involve finding an unknown number of groups or finding an unknown number of objects in each group.</w:t>
      </w:r>
    </w:p>
    <w:p>
      <w:pPr>
        <w:pStyle w:val="BodyText"/>
      </w:pPr>
      <w:r>
        <w:t xml:space="preserve">Students see the two types of division situations side-by-side in this lesson. They understand that division is finding the number in each group or the size of each group and can match division situations to drawings. Students learn that the same drawing can match either type of division situation. This is because the drawings represent the end result after division has occurred. From the drawing, we cannot tell whether the number of groups or the number of objects in each group was known. The division symbol,</w:t>
      </w:r>
      <w:r>
        <w:t xml:space="preserve"> </w:t>
      </w:r>
      <m:oMath>
        <m:r>
          <m:rPr>
            <m:sty m:val="p"/>
          </m:rPr>
          <m:t>÷</m:t>
        </m:r>
      </m:oMath>
      <w:r>
        <w:t xml:space="preserve">, is introduced in the lesson synthesis.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3)</w:t>
      </w:r>
    </w:p>
    <w:bookmarkEnd w:id="35"/>
    <w:bookmarkStart w:id="36" w:name="instructional-routines"/>
    <w:p>
      <w:pPr>
        <w:pStyle w:val="Heading3"/>
      </w:pPr>
      <w:r>
        <w:t xml:space="preserve">Instructional Routines</w:t>
      </w:r>
    </w:p>
    <w:p>
      <w:pPr>
        <w:pStyle w:val="FirstParagraph"/>
      </w:pPr>
      <w:r>
        <w:t xml:space="preserve">MLR1 Stronger and Clearer Each Time (Activity 2), 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are students leveraging the drawings they used for multiplication to solve division problems?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Party Favors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3.OA.A.2</w:t>
            </w:r>
          </w:p>
        </w:tc>
      </w:tr>
    </w:tbl>
    <w:bookmarkEnd w:id="43"/>
    <w:bookmarkStart w:id="50" w:name="student-facing-task-statement"/>
    <w:p>
      <w:pPr>
        <w:pStyle w:val="Heading3"/>
      </w:pPr>
      <w:r>
        <w:t xml:space="preserve">Student-facing Task Statement</w:t>
      </w:r>
    </w:p>
    <w:p>
      <w:pPr>
        <w:pStyle w:val="FirstParagraph"/>
      </w:pPr>
      <w:r>
        <w:t xml:space="preserve">Clare has 48 markers. She puts 8 markers into each goodie bag for her birthday party. How many bags will she use?</w:t>
      </w:r>
    </w:p>
    <w:p>
      <w:pPr>
        <w:pStyle w:val="BodyText"/>
      </w:pPr>
      <w:r>
        <w:t xml:space="preserve">Which drawing matches the situation? Explain your reasoning.</w:t>
      </w:r>
    </w:p>
    <w:p>
      <w:pPr>
        <w:pStyle w:val="BodyText"/>
      </w:pPr>
      <w:r>
        <w:t xml:space="preserve">A</w:t>
      </w:r>
      <w:r>
        <w:drawing>
          <wp:inline>
            <wp:extent cx="2971800" cy="2057400"/>
            <wp:effectExtent b="0" l="0" r="0" t="0"/>
            <wp:docPr descr="8 groups of 6 dots." title="" id="45" name="Picture"/>
            <a:graphic>
              <a:graphicData uri="http://schemas.openxmlformats.org/drawingml/2006/picture">
                <pic:pic>
                  <pic:nvPicPr>
                    <pic:cNvPr descr="/app/tmp/embedder-1671013033.0432448.png" id="46" name="Picture"/>
                    <pic:cNvPicPr>
                      <a:picLocks noChangeArrowheads="1" noChangeAspect="1"/>
                    </pic:cNvPicPr>
                  </pic:nvPicPr>
                  <pic:blipFill>
                    <a:blip r:embed="rId44"/>
                    <a:stretch>
                      <a:fillRect/>
                    </a:stretch>
                  </pic:blipFill>
                  <pic:spPr bwMode="auto">
                    <a:xfrm>
                      <a:off x="0" y="0"/>
                      <a:ext cx="2971800" cy="2057400"/>
                    </a:xfrm>
                    <a:prstGeom prst="rect">
                      <a:avLst/>
                    </a:prstGeom>
                    <a:noFill/>
                    <a:ln w="9525">
                      <a:noFill/>
                      <a:headEnd/>
                      <a:tailEnd/>
                    </a:ln>
                  </pic:spPr>
                </pic:pic>
              </a:graphicData>
            </a:graphic>
          </wp:inline>
        </w:drawing>
      </w:r>
    </w:p>
    <w:p>
      <w:pPr>
        <w:pStyle w:val="BodyText"/>
      </w:pPr>
      <w:r>
        <w:t xml:space="preserve">B</w:t>
      </w:r>
      <w:r>
        <w:drawing>
          <wp:inline>
            <wp:extent cx="2971800" cy="2286000"/>
            <wp:effectExtent b="0" l="0" r="0" t="0"/>
            <wp:docPr descr="6 groups of 8 dots." title="" id="48" name="Picture"/>
            <a:graphic>
              <a:graphicData uri="http://schemas.openxmlformats.org/drawingml/2006/picture">
                <pic:pic>
                  <pic:nvPicPr>
                    <pic:cNvPr descr="/app/tmp/embedder-1671013033.1456606.png" id="49" name="Picture"/>
                    <pic:cNvPicPr>
                      <a:picLocks noChangeArrowheads="1" noChangeAspect="1"/>
                    </pic:cNvPicPr>
                  </pic:nvPicPr>
                  <pic:blipFill>
                    <a:blip r:embed="rId47"/>
                    <a:stretch>
                      <a:fillRect/>
                    </a:stretch>
                  </pic:blipFill>
                  <pic:spPr bwMode="auto">
                    <a:xfrm>
                      <a:off x="0" y="0"/>
                      <a:ext cx="2971800" cy="2286000"/>
                    </a:xfrm>
                    <a:prstGeom prst="rect">
                      <a:avLst/>
                    </a:prstGeom>
                    <a:noFill/>
                    <a:ln w="9525">
                      <a:noFill/>
                      <a:headEnd/>
                      <a:tailEnd/>
                    </a:ln>
                  </pic:spPr>
                </pic:pic>
              </a:graphicData>
            </a:graphic>
          </wp:inline>
        </w:drawing>
      </w:r>
    </w:p>
    <w:bookmarkEnd w:id="50"/>
    <w:bookmarkStart w:id="51" w:name="student-responses"/>
    <w:p>
      <w:pPr>
        <w:pStyle w:val="Heading3"/>
      </w:pPr>
      <w:r>
        <w:t xml:space="preserve">Student Responses</w:t>
      </w:r>
    </w:p>
    <w:p>
      <w:pPr>
        <w:pStyle w:val="FirstParagraph"/>
      </w:pPr>
      <w:r>
        <w:t xml:space="preserve">Sample response: Drawing B matches the situation because it shows 8 markers in each bag. After the 48 markers are put into groups of 8, there will be 6 bags.</w:t>
      </w:r>
    </w:p>
    <w:bookmarkEnd w:id="51"/>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2022-12-14T10:17:13Z</dcterms:created>
  <dcterms:modified xsi:type="dcterms:W3CDTF">2022-12-14T10:17:13Z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WjTbhsOHQbLvdbg+5kym2/lNIfcjogHoexH2IS42bIh+MJ7frw+57yqRGyC3KIqzwKVYcTcoXPP+mxNRWjlv1Q==</vt:lpwstr>
  </property>
</Properties>
</file>