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3.xml" ContentType="application/vnd.openxmlformats-officedocument.wordprocessingml.head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media/rId28.png" ContentType="image/png"/>
  <Override PartName="/word/media/rId21.png" ContentType="image/png"/>
  <Override PartName="/word/media/image1.png" ContentType="image/pn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0" w:name="X0fc70dd1be6ab2e385cd2b9312eb4936cd77b72"/>
    <w:p>
      <w:pPr>
        <w:pStyle w:val="Heading2"/>
      </w:pPr>
      <w:r>
        <w:t xml:space="preserve">Unit 6 Lesson 14: Evaluating Expressions with Exponents</w:t>
      </w:r>
    </w:p>
    <w:bookmarkEnd w:id="20"/>
    <w:bookmarkStart w:id="25" w:name="revisiting-the-cube-warm-up"/>
    <w:p>
      <w:pPr>
        <w:pStyle w:val="Heading3"/>
      </w:pPr>
      <w:r>
        <w:t xml:space="preserve">1 Revisiting the Cube (Warm up)</w:t>
      </w:r>
    </w:p>
    <w:bookmarkStart w:id="24" w:name="student-task-statement"/>
    <w:p>
      <w:pPr>
        <w:pStyle w:val="Heading4"/>
      </w:pPr>
      <w:r>
        <w:t xml:space="preserve">Student Task Statement</w:t>
      </w:r>
    </w:p>
    <w:p>
      <w:pPr>
        <w:pStyle w:val="FirstParagraph"/>
      </w:pPr>
      <w:r>
        <w:t xml:space="preserve">Based on the given information, what other measurements of the square and cube could we find?</w:t>
      </w:r>
    </w:p>
    <w:p>
      <w:pPr>
        <w:pStyle w:val="BodyText"/>
      </w:pPr>
      <w:r>
        <w:drawing>
          <wp:inline>
            <wp:extent cx="2730967" cy="1336430"/>
            <wp:effectExtent b="0" l="0" r="0" t="0"/>
            <wp:docPr descr="A square with a side length of three units. A cube with a side length of three units." title="" id="22" name="Picture"/>
            <a:graphic>
              <a:graphicData uri="http://schemas.openxmlformats.org/drawingml/2006/picture">
                <pic:pic>
                  <pic:nvPicPr>
                    <pic:cNvPr descr="/app/tmp/embedder-1671033273.9587932.png" id="23" name="Picture"/>
                    <pic:cNvPicPr>
                      <a:picLocks noChangeArrowheads="1" noChangeAspect="1"/>
                    </pic:cNvPicPr>
                  </pic:nvPicPr>
                  <pic:blipFill>
                    <a:blip r:embed="rId21"/>
                    <a:stretch>
                      <a:fillRect/>
                    </a:stretch>
                  </pic:blipFill>
                  <pic:spPr bwMode="auto">
                    <a:xfrm>
                      <a:off x="0" y="0"/>
                      <a:ext cx="2730967" cy="1336430"/>
                    </a:xfrm>
                    <a:prstGeom prst="rect">
                      <a:avLst/>
                    </a:prstGeom>
                    <a:noFill/>
                    <a:ln w="9525">
                      <a:noFill/>
                      <a:headEnd/>
                      <a:tailEnd/>
                    </a:ln>
                  </pic:spPr>
                </pic:pic>
              </a:graphicData>
            </a:graphic>
          </wp:inline>
        </w:drawing>
      </w:r>
    </w:p>
    <w:p>
      <w:pPr>
        <w:pStyle w:val="BodyText"/>
      </w:pPr>
      <w:r>
        <w:t xml:space="preserve"> </w:t>
      </w:r>
    </w:p>
    <w:bookmarkEnd w:id="24"/>
    <w:bookmarkEnd w:id="25"/>
    <w:bookmarkStart w:id="27" w:name="calculating-surface-area"/>
    <w:p>
      <w:pPr>
        <w:pStyle w:val="Heading3"/>
      </w:pPr>
      <w:r>
        <w:t xml:space="preserve">2 Calculating Surface Area</w:t>
      </w:r>
    </w:p>
    <w:bookmarkStart w:id="26" w:name="student-task-statement-1"/>
    <w:p>
      <w:pPr>
        <w:pStyle w:val="Heading4"/>
      </w:pPr>
      <w:r>
        <w:t xml:space="preserve">Student Task Statement</w:t>
      </w:r>
    </w:p>
    <w:p>
      <w:pPr>
        <w:pStyle w:val="FirstParagraph"/>
      </w:pPr>
      <w:r>
        <w:t xml:space="preserve">A cube has side length 10 inches. Jada says the surface area of the cube is 600 in</w:t>
      </w:r>
      <w:r>
        <w:rPr>
          <w:vertAlign w:val="superscript"/>
        </w:rPr>
        <w:t xml:space="preserve">2</w:t>
      </w:r>
      <w:r>
        <w:t xml:space="preserve">, and Noah says the surface area of the cube is 3,600 in</w:t>
      </w:r>
      <w:r>
        <w:rPr>
          <w:vertAlign w:val="superscript"/>
        </w:rPr>
        <w:t xml:space="preserve">2</w:t>
      </w:r>
      <w:r>
        <w:t xml:space="preserve">. Here is how each of them reasoned:</w:t>
      </w:r>
    </w:p>
    <w:p>
      <w:pPr>
        <w:pStyle w:val="BodyText"/>
      </w:pPr>
      <w:r>
        <w:t xml:space="preserve">Jada’s Method:</w:t>
      </w:r>
    </w:p>
    <w:p>
      <w:pPr>
        <w:pStyle w:val="BodyText"/>
      </w:pPr>
      <m:oMath>
        <m:r>
          <m:t>6</m:t>
        </m:r>
        <m:r>
          <m:rPr>
            <m:sty m:val="p"/>
          </m:rPr>
          <m:t>⋅</m:t>
        </m:r>
        <m:sSup>
          <m:e>
            <m:r>
              <m:t>10</m:t>
            </m:r>
          </m:e>
          <m:sup>
            <m:r>
              <m:t>2</m:t>
            </m:r>
          </m:sup>
        </m:sSup>
      </m:oMath>
      <w:r>
        <w:br/>
      </w:r>
      <m:oMath>
        <m:r>
          <m:t>6</m:t>
        </m:r>
        <m:r>
          <m:rPr>
            <m:sty m:val="p"/>
          </m:rPr>
          <m:t>⋅</m:t>
        </m:r>
        <m:r>
          <m:t>100</m:t>
        </m:r>
      </m:oMath>
      <w:r>
        <w:br/>
      </w:r>
      <m:oMath>
        <m:r>
          <m:t>600</m:t>
        </m:r>
      </m:oMath>
    </w:p>
    <w:p>
      <w:pPr>
        <w:pStyle w:val="BodyText"/>
      </w:pPr>
      <w:r>
        <w:t xml:space="preserve">Noah’s Method:</w:t>
      </w:r>
    </w:p>
    <w:p>
      <w:pPr>
        <w:pStyle w:val="BodyText"/>
      </w:pPr>
      <m:oMath>
        <m:r>
          <m:t>6</m:t>
        </m:r>
        <m:r>
          <m:rPr>
            <m:sty m:val="p"/>
          </m:rPr>
          <m:t>⋅</m:t>
        </m:r>
        <m:sSup>
          <m:e>
            <m:r>
              <m:t>10</m:t>
            </m:r>
          </m:e>
          <m:sup>
            <m:r>
              <m:t>2</m:t>
            </m:r>
          </m:sup>
        </m:sSup>
      </m:oMath>
      <w:r>
        <w:br/>
      </w:r>
      <m:oMath>
        <m:sSup>
          <m:e>
            <m:r>
              <m:t>60</m:t>
            </m:r>
          </m:e>
          <m:sup>
            <m:r>
              <m:t>2</m:t>
            </m:r>
          </m:sup>
        </m:sSup>
      </m:oMath>
      <w:r>
        <w:br/>
      </w:r>
      <m:oMath>
        <m:r>
          <m:t>3</m:t>
        </m:r>
        <m:r>
          <m:rPr>
            <m:sty m:val="p"/>
          </m:rPr>
          <m:t>,</m:t>
        </m:r>
        <m:r>
          <m:t>​</m:t>
        </m:r>
        <m:r>
          <m:t>600</m:t>
        </m:r>
      </m:oMath>
    </w:p>
    <w:p>
      <w:pPr>
        <w:pStyle w:val="BodyText"/>
      </w:pPr>
      <w:r>
        <w:t xml:space="preserve">Do you agree with either of them? Explain your reasoning.</w:t>
      </w:r>
    </w:p>
    <w:bookmarkEnd w:id="26"/>
    <w:bookmarkEnd w:id="27"/>
    <w:bookmarkStart w:id="32" w:name="row-game-expression-explosion"/>
    <w:p>
      <w:pPr>
        <w:pStyle w:val="Heading3"/>
      </w:pPr>
      <w:r>
        <w:t xml:space="preserve">3 Row Game: Expression Explosion</w:t>
      </w:r>
    </w:p>
    <w:bookmarkStart w:id="31" w:name="student-task-statement-2"/>
    <w:p>
      <w:pPr>
        <w:pStyle w:val="Heading4"/>
      </w:pPr>
      <w:r>
        <w:t xml:space="preserve">Student Task Statement</w:t>
      </w:r>
    </w:p>
    <w:p>
      <w:pPr>
        <w:pStyle w:val="FirstParagraph"/>
      </w:pPr>
      <w:r>
        <w:t xml:space="preserve">Evaluate the expressions in one of the columns. Your partner will work on the other column. Check with your partner after you finish each row. Your answers in each row should be the same. If your answers aren’t the same, work together to find the error.</w:t>
      </w:r>
    </w:p>
    <w:tbl>
      <w:tblPr>
        <w:tblStyle w:val="Table"/>
        <w:tblW w:type="auto" w:w="0"/>
        <w:tblLook w:firstRow="1" w:lastRow="0" w:firstColumn="0" w:lastColumn="0" w:noHBand="0" w:noVBand="0" w:val="0020"/>
      </w:tblPr>
      <w:tblGrid>
        <w:gridCol w:w="3960"/>
        <w:gridCol w:w="3960"/>
      </w:tblGrid>
      <w:tr>
        <w:trPr>
          <w:tblHeader w:val="true"/>
        </w:trPr>
        <w:tc>
          <w:tcPr/>
          <w:p>
            <w:pPr>
              <w:pStyle w:val="Compact"/>
              <w:jc w:val="left"/>
            </w:pPr>
            <w:r>
              <w:t xml:space="preserve">column A</w:t>
            </w:r>
          </w:p>
        </w:tc>
        <w:tc>
          <w:tcPr/>
          <w:p>
            <w:pPr>
              <w:pStyle w:val="Compact"/>
              <w:jc w:val="left"/>
            </w:pPr>
            <w:r>
              <w:t xml:space="preserve">column B</w:t>
            </w:r>
          </w:p>
        </w:tc>
      </w:tr>
      <w:tr>
        <w:tc>
          <w:tcPr/>
          <w:p>
            <w:pPr>
              <w:pStyle w:val="Compact"/>
              <w:jc w:val="left"/>
            </w:pPr>
            <m:oMath>
              <m:sSup>
                <m:e>
                  <m:r>
                    <m:t>5</m:t>
                  </m:r>
                </m:e>
                <m:sup>
                  <m:r>
                    <m:t>2</m:t>
                  </m:r>
                </m:sup>
              </m:sSup>
              <m:r>
                <m:rPr>
                  <m:sty m:val="p"/>
                </m:rPr>
                <m:t>+</m:t>
              </m:r>
              <m:r>
                <m:t>4</m:t>
              </m:r>
            </m:oMath>
          </w:p>
        </w:tc>
        <w:tc>
          <w:tcPr/>
          <w:p>
            <w:pPr>
              <w:pStyle w:val="Compact"/>
              <w:jc w:val="left"/>
            </w:pPr>
            <m:oMath>
              <m:sSup>
                <m:e>
                  <m:r>
                    <m:t>2</m:t>
                  </m:r>
                </m:e>
                <m:sup>
                  <m:r>
                    <m:t>2</m:t>
                  </m:r>
                </m:sup>
              </m:sSup>
              <m:r>
                <m:rPr>
                  <m:sty m:val="p"/>
                </m:rPr>
                <m:t>+</m:t>
              </m:r>
              <m:r>
                <m:t>25</m:t>
              </m:r>
            </m:oMath>
          </w:p>
        </w:tc>
      </w:tr>
      <w:tr>
        <w:tc>
          <w:tcPr/>
          <w:p>
            <w:pPr>
              <w:pStyle w:val="Compact"/>
              <w:jc w:val="left"/>
            </w:pPr>
            <m:oMath>
              <m:sSup>
                <m:e>
                  <m:r>
                    <m:t>2</m:t>
                  </m:r>
                </m:e>
                <m:sup>
                  <m:r>
                    <m:t>4</m:t>
                  </m:r>
                </m:sup>
              </m:sSup>
              <m:r>
                <m:rPr>
                  <m:sty m:val="p"/>
                </m:rPr>
                <m:t>⋅</m:t>
              </m:r>
              <m:r>
                <m:t>5</m:t>
              </m:r>
            </m:oMath>
          </w:p>
        </w:tc>
        <w:tc>
          <w:tcPr/>
          <w:p>
            <w:pPr>
              <w:pStyle w:val="Compact"/>
              <w:jc w:val="left"/>
            </w:pPr>
            <m:oMath>
              <m:sSup>
                <m:e>
                  <m:r>
                    <m:t>2</m:t>
                  </m:r>
                </m:e>
                <m:sup>
                  <m:r>
                    <m:t>3</m:t>
                  </m:r>
                </m:sup>
              </m:sSup>
              <m:r>
                <m:rPr>
                  <m:sty m:val="p"/>
                </m:rPr>
                <m:t>⋅</m:t>
              </m:r>
              <m:r>
                <m:t>10</m:t>
              </m:r>
            </m:oMath>
          </w:p>
        </w:tc>
      </w:tr>
      <w:tr>
        <w:tc>
          <w:tcPr/>
          <w:p>
            <w:pPr>
              <w:pStyle w:val="Compact"/>
              <w:jc w:val="left"/>
            </w:pPr>
            <m:oMath>
              <m:r>
                <m:t>3</m:t>
              </m:r>
              <m:r>
                <m:rPr>
                  <m:sty m:val="p"/>
                </m:rPr>
                <m:t>⋅</m:t>
              </m:r>
              <m:sSup>
                <m:e>
                  <m:r>
                    <m:t>4</m:t>
                  </m:r>
                </m:e>
                <m:sup>
                  <m:r>
                    <m:t>2</m:t>
                  </m:r>
                </m:sup>
              </m:sSup>
            </m:oMath>
          </w:p>
        </w:tc>
        <w:tc>
          <w:tcPr/>
          <w:p>
            <w:pPr>
              <w:pStyle w:val="Compact"/>
              <w:jc w:val="left"/>
            </w:pPr>
            <m:oMath>
              <m:r>
                <m:t>12</m:t>
              </m:r>
              <m:r>
                <m:rPr>
                  <m:sty m:val="p"/>
                </m:rPr>
                <m:t>⋅</m:t>
              </m:r>
              <m:sSup>
                <m:e>
                  <m:r>
                    <m:t>2</m:t>
                  </m:r>
                </m:e>
                <m:sup>
                  <m:r>
                    <m:t>2</m:t>
                  </m:r>
                </m:sup>
              </m:sSup>
            </m:oMath>
          </w:p>
        </w:tc>
      </w:tr>
      <w:tr>
        <w:tc>
          <w:tcPr/>
          <w:p>
            <w:pPr>
              <w:pStyle w:val="Compact"/>
              <w:jc w:val="left"/>
            </w:pPr>
            <m:oMath>
              <m:r>
                <m:t>20</m:t>
              </m:r>
              <m:r>
                <m:rPr>
                  <m:sty m:val="p"/>
                </m:rPr>
                <m:t>+</m:t>
              </m:r>
              <m:sSup>
                <m:e>
                  <m:r>
                    <m:t>2</m:t>
                  </m:r>
                </m:e>
                <m:sup>
                  <m:r>
                    <m:t>3</m:t>
                  </m:r>
                </m:sup>
              </m:sSup>
            </m:oMath>
          </w:p>
        </w:tc>
        <w:tc>
          <w:tcPr/>
          <w:p>
            <w:pPr>
              <w:pStyle w:val="Compact"/>
              <w:jc w:val="left"/>
            </w:pPr>
            <m:oMath>
              <m:r>
                <m:t>1</m:t>
              </m:r>
              <m:r>
                <m:rPr>
                  <m:sty m:val="p"/>
                </m:rPr>
                <m:t>+</m:t>
              </m:r>
              <m:sSup>
                <m:e>
                  <m:r>
                    <m:t>3</m:t>
                  </m:r>
                </m:e>
                <m:sup>
                  <m:r>
                    <m:t>3</m:t>
                  </m:r>
                </m:sup>
              </m:sSup>
            </m:oMath>
          </w:p>
        </w:tc>
      </w:tr>
      <w:tr>
        <w:tc>
          <w:tcPr/>
          <w:p>
            <w:pPr>
              <w:pStyle w:val="Compact"/>
              <w:jc w:val="left"/>
            </w:pPr>
            <m:oMath>
              <m:r>
                <m:t>9</m:t>
              </m:r>
              <m:r>
                <m:rPr>
                  <m:sty m:val="p"/>
                </m:rPr>
                <m:t>⋅</m:t>
              </m:r>
              <m:sSup>
                <m:e>
                  <m:r>
                    <m:t>2</m:t>
                  </m:r>
                </m:e>
                <m:sup>
                  <m:r>
                    <m:t>1</m:t>
                  </m:r>
                </m:sup>
              </m:sSup>
            </m:oMath>
          </w:p>
        </w:tc>
        <w:tc>
          <w:tcPr/>
          <w:p>
            <w:pPr>
              <w:pStyle w:val="Compact"/>
              <w:jc w:val="left"/>
            </w:pPr>
            <m:oMath>
              <m:r>
                <m:t>3</m:t>
              </m:r>
              <m:r>
                <m:rPr>
                  <m:sty m:val="p"/>
                </m:rPr>
                <m:t>⋅</m:t>
              </m:r>
              <m:sSup>
                <m:e>
                  <m:r>
                    <m:t>6</m:t>
                  </m:r>
                </m:e>
                <m:sup>
                  <m:r>
                    <m:t>1</m:t>
                  </m:r>
                </m:sup>
              </m:sSup>
            </m:oMath>
          </w:p>
        </w:tc>
      </w:tr>
      <w:tr>
        <w:tc>
          <w:tcPr/>
          <w:p>
            <w:pPr>
              <w:pStyle w:val="Compact"/>
              <w:jc w:val="left"/>
            </w:pPr>
            <m:oMath>
              <m:f>
                <m:fPr>
                  <m:type m:val="bar"/>
                </m:fPr>
                <m:num>
                  <m:r>
                    <m:t>1</m:t>
                  </m:r>
                </m:num>
                <m:den>
                  <m:r>
                    <m:t>9</m:t>
                  </m:r>
                </m:den>
              </m:f>
              <m:r>
                <m:rPr>
                  <m:sty m:val="p"/>
                </m:rPr>
                <m:t>⋅</m:t>
              </m:r>
              <m:sSup>
                <m:e>
                  <m:d>
                    <m:dPr>
                      <m:begChr m:val="("/>
                      <m:endChr m:val=")"/>
                      <m:sepChr m:val=""/>
                      <m:grow/>
                    </m:dPr>
                    <m:e>
                      <m:f>
                        <m:fPr>
                          <m:type m:val="bar"/>
                        </m:fPr>
                        <m:num>
                          <m:r>
                            <m:t>1</m:t>
                          </m:r>
                        </m:num>
                        <m:den>
                          <m:r>
                            <m:t>2</m:t>
                          </m:r>
                        </m:den>
                      </m:f>
                    </m:e>
                  </m:d>
                </m:e>
                <m:sup>
                  <m:r>
                    <m:t>3</m:t>
                  </m:r>
                </m:sup>
              </m:sSup>
            </m:oMath>
          </w:p>
        </w:tc>
        <w:tc>
          <w:tcPr/>
          <w:p>
            <w:pPr>
              <w:pStyle w:val="Compact"/>
              <w:jc w:val="left"/>
            </w:pPr>
            <m:oMath>
              <m:f>
                <m:fPr>
                  <m:type m:val="bar"/>
                </m:fPr>
                <m:num>
                  <m:r>
                    <m:t>1</m:t>
                  </m:r>
                </m:num>
                <m:den>
                  <m:r>
                    <m:t>8</m:t>
                  </m:r>
                </m:den>
              </m:f>
              <m:r>
                <m:rPr>
                  <m:sty m:val="p"/>
                </m:rPr>
                <m:t>⋅</m:t>
              </m:r>
              <m:sSup>
                <m:e>
                  <m:d>
                    <m:dPr>
                      <m:begChr m:val="("/>
                      <m:endChr m:val=")"/>
                      <m:sepChr m:val=""/>
                      <m:grow/>
                    </m:dPr>
                    <m:e>
                      <m:f>
                        <m:fPr>
                          <m:type m:val="bar"/>
                        </m:fPr>
                        <m:num>
                          <m:r>
                            <m:t>1</m:t>
                          </m:r>
                        </m:num>
                        <m:den>
                          <m:r>
                            <m:t>3</m:t>
                          </m:r>
                        </m:den>
                      </m:f>
                    </m:e>
                  </m:d>
                </m:e>
                <m:sup>
                  <m:r>
                    <m:t>2</m:t>
                  </m:r>
                </m:sup>
              </m:sSup>
            </m:oMath>
          </w:p>
        </w:tc>
      </w:tr>
    </w:tbl>
    <w:p>
      <w:pPr>
        <w:pStyle w:val="BodyText"/>
      </w:pPr>
      <w:r>
        <w:t xml:space="preserve"> </w:t>
      </w:r>
    </w:p>
    <w:p>
      <w:pPr>
        <w:pStyle w:val="BodyText"/>
      </w:pPr>
      <w:r>
        <w:drawing>
          <wp:inline>
            <wp:extent cx="762000" cy="266700"/>
            <wp:effectExtent b="0" l="0" r="0" t="0"/>
            <wp:docPr descr="" title="" id="29" name="Picture"/>
            <a:graphic>
              <a:graphicData uri="http://schemas.openxmlformats.org/drawingml/2006/picture">
                <pic:pic>
                  <pic:nvPicPr>
                    <pic:cNvPr descr="/app/app/assets/images/export/ccby_logo_small.png" id="30" name="Picture"/>
                    <pic:cNvPicPr>
                      <a:picLocks noChangeArrowheads="1" noChangeAspect="1"/>
                    </pic:cNvPicPr>
                  </pic:nvPicPr>
                  <pic:blipFill>
                    <a:blip r:embed="rId28"/>
                    <a:stretch>
                      <a:fillRect/>
                    </a:stretch>
                  </pic:blipFill>
                  <pic:spPr bwMode="auto">
                    <a:xfrm>
                      <a:off x="0" y="0"/>
                      <a:ext cx="762000" cy="266700"/>
                    </a:xfrm>
                    <a:prstGeom prst="rect">
                      <a:avLst/>
                    </a:prstGeom>
                    <a:noFill/>
                    <a:ln w="9525">
                      <a:noFill/>
                      <a:headEnd/>
                      <a:tailEnd/>
                    </a:ln>
                  </pic:spPr>
                </pic:pic>
              </a:graphicData>
            </a:graphic>
          </wp:inline>
        </w:drawing>
      </w:r>
    </w:p>
    <w:p>
      <w:pPr>
        <w:pStyle w:val="BodyText"/>
      </w:pPr>
      <w:r>
        <w:t xml:space="preserve">© CC BY Open Up Resources. Adaptations CC BY IM.</w:t>
      </w:r>
    </w:p>
    <w:bookmarkEnd w:id="31"/>
    <w:bookmarkEnd w:id="32"/>
    <w:sectPr w:rsidR="00D121E2">
      <w:headerReference r:id="rId10" w:type="even"/>
      <w:headerReference r:id="rId11" w:type="default"/>
      <w:footerReference r:id="rId14" w:type="even"/>
      <w:footerReference r:id="rId12" w:type="default"/>
      <w:headerReference r:id="rId9" w:type="first"/>
      <w:footerReference r:id="rId13" w:type="first"/>
      <w:pgSz w:h="15840" w:w="12240"/>
      <w:pgMar w:bottom="1440" w:footer="720" w:gutter="0" w:header="720" w:left="1440" w:right="1440" w:top="1440"/>
      <w:cols w:space="7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auto"/>
    <w:pitch w:val="variable"/>
    <w:sig w:usb0="E00002FF" w:usb1="400004FF" w:usb2="00000000" w:usb3="00000000" w:csb0="0000019F" w:csb1="00000000"/>
  </w:font>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Consolas">
    <w:panose1 w:val="020B0609020204030204"/>
    <w:charset w:val="00"/>
    <w:family w:val="auto"/>
    <w:pitch w:val="variable"/>
    <w:sig w:usb0="E10002FF" w:usb1="4000FCFF" w:usb2="00000009" w:usb3="00000000" w:csb0="0000019F"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020838" w14:textId="77777777" w:rsidR="004334B2" w:rsidRDefault="004334B2" w:rsidP="00C83B8A">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326E3B1" w14:textId="77777777" w:rsidR="009E40FE" w:rsidRDefault="009E40FE" w:rsidP="004334B2">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5D34E5" w14:textId="3F7124D7" w:rsidR="000B7A7F" w:rsidRDefault="00E54CE6" w:rsidP="004334B2">
    <w:pPr>
      <w:pStyle w:val="Footer"/>
      <w:ind w:right="360"/>
    </w:pPr>
    <w:r>
      <w:pict w14:anchorId="5EC179F9">
        <v:rect id="_x0000_i1026" style="width:0;height:1.5pt" o:hralign="center" o:hrstd="t" o:hr="t" fillcolor="#aaa" stroked="f"/>
      </w:pict>
    </w:r>
  </w:p>
  <w:p w14:paraId="4389672A" w14:textId="77777777" w:rsidR="000B7A7F" w:rsidRDefault="000B7A7F" w:rsidP="000B7A7F">
    <w:pPr>
      <w:pStyle w:val="Footer"/>
      <w:framePr w:wrap="none" w:vAnchor="text" w:hAnchor="page" w:x="11422" w:y="209"/>
      <w:rPr>
        <w:rStyle w:val="PageNumber"/>
      </w:rPr>
    </w:pPr>
    <w:r>
      <w:rPr>
        <w:rStyle w:val="PageNumber"/>
      </w:rPr>
      <w:fldChar w:fldCharType="begin"/>
    </w:r>
    <w:r>
      <w:rPr>
        <w:rStyle w:val="PageNumber"/>
      </w:rPr>
      <w:instrText xml:space="preserve">PAGE  </w:instrText>
    </w:r>
    <w:r>
      <w:rPr>
        <w:rStyle w:val="PageNumber"/>
      </w:rPr>
      <w:fldChar w:fldCharType="separate"/>
    </w:r>
    <w:r w:rsidR="00ED6A00">
      <w:rPr>
        <w:rStyle w:val="PageNumber"/>
        <w:noProof/>
      </w:rPr>
      <w:t>1</w:t>
    </w:r>
    <w:r>
      <w:rPr>
        <w:rStyle w:val="PageNumber"/>
      </w:rPr>
      <w:fldChar w:fldCharType="end"/>
    </w:r>
  </w:p>
  <w:p w14:paraId="2E999C6A" w14:textId="712842B2" w:rsidR="009E40FE" w:rsidRDefault="004334B2" w:rsidP="004334B2">
    <w:pPr>
      <w:pStyle w:val="Footer"/>
      <w:ind w:right="360"/>
    </w:pPr>
    <w:bookmarkStart w:id="0" w:name="_GoBack"/>
    <w:bookmarkEnd w:id="0"/>
    <w:r>
      <w:tab/>
    </w:r>
    <w:r>
      <w:tab/>
    </w: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07B0E5" w14:textId="77777777" w:rsidR="009E40FE" w:rsidRDefault="009E40FE">
    <w:pPr>
      <w:pStyle w:val="Footer"/>
    </w:pPr>
  </w:p>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1E271E" w14:textId="77777777" w:rsidR="009E40FE" w:rsidRDefault="009E40FE">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9E8894" w14:textId="0197742A" w:rsidR="009E40FE" w:rsidRDefault="009E40FE">
    <w:pPr>
      <w:pStyle w:val="Header"/>
    </w:pPr>
    <w:r w:rsidRPr="00060C23">
      <w:rPr>
        <w:noProof/>
      </w:rPr>
      <w:drawing>
        <wp:anchor distT="0" distB="0" distL="114300" distR="114300" simplePos="0" relativeHeight="251659264" behindDoc="0" locked="0" layoutInCell="1" allowOverlap="0" wp14:anchorId="69158EB4" wp14:editId="4429B5A5">
          <wp:simplePos x="0" y="0"/>
          <wp:positionH relativeFrom="column">
            <wp:posOffset>4874895</wp:posOffset>
          </wp:positionH>
          <wp:positionV relativeFrom="paragraph">
            <wp:posOffset>-120015</wp:posOffset>
          </wp:positionV>
          <wp:extent cx="1043940" cy="22860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_OUR_logos.png"/>
                  <pic:cNvPicPr/>
                </pic:nvPicPr>
                <pic:blipFill>
                  <a:blip r:embed="rId1">
                    <a:extLst>
                      <a:ext uri="{28A0092B-C50C-407E-A947-70E740481C1C}">
                        <a14:useLocalDpi xmlns:a14="http://schemas.microsoft.com/office/drawing/2010/main" val="0"/>
                      </a:ext>
                    </a:extLst>
                  </a:blip>
                  <a:stretch>
                    <a:fillRect/>
                  </a:stretch>
                </pic:blipFill>
                <pic:spPr>
                  <a:xfrm>
                    <a:off x="0" y="0"/>
                    <a:ext cx="1043940" cy="228600"/>
                  </a:xfrm>
                  <a:prstGeom prst="rect">
                    <a:avLst/>
                  </a:prstGeom>
                </pic:spPr>
              </pic:pic>
            </a:graphicData>
          </a:graphic>
          <wp14:sizeRelH relativeFrom="margin">
            <wp14:pctWidth>0</wp14:pctWidth>
          </wp14:sizeRelH>
        </wp:anchor>
      </w:drawing>
    </w:r>
    <w:r>
      <w:ptab w:relativeTo="margin" w:alignment="right" w:leader="none"/>
    </w:r>
  </w:p>
  <w:p w14:paraId="2A500FB4" w14:textId="77777777" w:rsidR="0047280E" w:rsidRDefault="0047280E">
    <w:pPr>
      <w:pStyle w:val="Header"/>
    </w:pPr>
  </w:p>
  <w:p w14:paraId="30036C25" w14:textId="77777777" w:rsidR="001E3EA7" w:rsidRDefault="001E3EA7">
    <w:pPr>
      <w:pStyle w:val="Header"/>
    </w:pPr>
  </w:p>
  <w:p w14:paraId="71D671F4" w14:textId="5CB14710" w:rsidR="0047280E" w:rsidRDefault="00E54CE6">
    <w:pPr>
      <w:pStyle w:val="Header"/>
    </w:pPr>
    <w:r>
      <w:pict w14:anchorId="180017B1">
        <v:rect id="_x0000_i1025" style="width:0;height:1.5pt" o:hralign="center" o:hrstd="t" o:hr="t" fillcolor="#aaa" stroked="f"/>
      </w:pict>
    </w:r>
  </w:p>
  <w:p w14:paraId="5699A3D6" w14:textId="5F2F2DF8" w:rsidR="001E3EA7" w:rsidRDefault="001E3EA7">
    <w:pPr>
      <w:pStyle w:val="Header"/>
    </w:pPr>
    <w:r>
      <w:t>NAME</w:t>
    </w:r>
    <w:r>
      <w:tab/>
      <w:t>DATE</w:t>
    </w:r>
    <w:r>
      <w:tab/>
      <w:t>PERIOD</w:t>
    </w:r>
  </w:p>
  <w:p w14:paraId="4ADE8C9C" w14:textId="77777777" w:rsidR="0047280E" w:rsidRDefault="0047280E">
    <w:pPr>
      <w:pStyle w:val="Heade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FE40C3" w14:textId="77777777" w:rsidR="009E40FE" w:rsidRDefault="009E40FE">
    <w:pPr>
      <w:pStyle w:val="Header"/>
    </w:pPr>
  </w:p>
</w:hdr>
</file>

<file path=word/numbering.xml><?xml version="1.0" encoding="utf-8"?>
<w:numbering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abstractNum w:abstractNumId="0">
    <w:nsid w:val="E17F69BA"/>
    <w:multiLevelType w:val="multilevel"/>
    <w:tmpl w:val="E014FE38"/>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1">
    <w:nsid w:val="4F6ADBBF"/>
    <w:multiLevelType w:val="multilevel"/>
    <w:tmpl w:val="329E54F4"/>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
    <w:abstractNumId w:val="0"/>
  </w:num>
  <w:num w:numId="2">
    <w:abstractNumId w:val="1"/>
  </w: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savePreviewPicture/>
  <w:rsids>
  </w:rsids>
  <w:clrSchemeMapping w:accent1="accent1" w:accent2="accent2" w:accent3="accent3" w:accent4="accent4" w:accent5="accent5" w:accent6="accent6" w:bg1="light1" w:bg2="light2" w:followedHyperlink="followedHyperlink" w:hyperlink="hyperlink" w:t1="dark1" w:t2="dark2"/>
  <w:zoom w:percent="9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compat>
    <w:compatSetting w:name="compatibilityMode" w:uri="http://schemas.microsoft.com/office/word" w:val="12"/>
  </w:compat>
  <m:mathPr>
    <m:mathFont m:val="Cambria Math"/>
    <m:brkBin m:val="before"/>
    <m:brkBinSub m:val="--"/>
    <m:smallFrac m:val="0"/>
    <m:dispDef m:val="0"/>
    <m:lMargin m:val="0"/>
    <m:rMargin m:val="0"/>
    <m:defJc m:val="centerGroup"/>
    <m:wrapRight/>
    <m:intLim m:val="subSup"/>
    <m:naryLim m:val="subSup"/>
  </m:mathPr>
  <w:themeFontLang w:bidi="x-none" w:eastAsia="x-none" w:val="en-U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382" w:defLockedState="0" w:defQFormat="0" w:defSemiHidden="0" w:defUIPriority="0" w:defUnhideWhenUsed="0">
    <w:lsdException w:name="heading 8"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5" w:semiHidden="1" w:unhideWhenUsed="1"/>
    <w:lsdException w:name="List Number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default="1" w:styleId="Normal" w:type="paragraph">
    <w:name w:val="Normal"/>
    <w:qFormat/>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themeShade="B5" w:val="345A8A"/>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32"/>
      <w:szCs w:val="32"/>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8"/>
      <w:szCs w:val="28"/>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b/>
      <w:bCs/>
      <w:color w:themeColor="accent1" w:val="4F81BD"/>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
      <w:iCs/>
      <w:color w:themeColor="accent1" w:val="4F81BD"/>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styleId="BodyText" w:type="paragraph">
    <w:name w:val="Body Text"/>
    <w:basedOn w:val="Normal"/>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spacing w:before="240"/>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qFormat/>
  </w:style>
  <w:style w:styleId="BlockText" w:type="paragraph">
    <w:name w:val="Block Text"/>
    <w:basedOn w:val="BodyText"/>
    <w:next w:val="BodyText"/>
    <w:uiPriority w:val="9"/>
    <w:unhideWhenUsed/>
    <w:qFormat/>
    <w:pPr>
      <w:spacing w:after="100" w:before="100"/>
    </w:pPr>
    <w:rPr>
      <w:rFonts w:asciiTheme="majorHAnsi" w:cstheme="majorBidi" w:eastAsiaTheme="majorEastAsia" w:hAnsiTheme="majorHAnsi"/>
      <w:bCs/>
      <w:sz w:val="20"/>
      <w:szCs w:val="20"/>
    </w:rPr>
  </w:style>
  <w:style w:styleId="FootnoteText" w:type="paragraph">
    <w:name w:val="footnote text"/>
    <w:basedOn w:val="Normal"/>
    <w:uiPriority w:val="9"/>
    <w:unhideWhenUsed/>
    <w:qFormat/>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CaptionChar"/>
    <w:pPr>
      <w:spacing w:after="12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FigurewithCaption" w:type="paragraph">
    <w:name w:val="Figure with Caption"/>
    <w:basedOn w:val="Figure"/>
    <w:pPr>
      <w:keepNext/>
    </w:pPr>
  </w:style>
  <w:style w:customStyle="1" w:styleId="CaptionChar" w:type="character">
    <w:name w:val="Caption Char"/>
    <w:basedOn w:val="DefaultParagraphFont"/>
    <w:link w:val="Caption"/>
  </w:style>
  <w:style w:customStyle="1" w:styleId="VerbatimChar" w:type="character">
    <w:name w:val="Verbatim Char"/>
    <w:basedOn w:val="CaptionChar"/>
    <w:link w:val="SourceCode"/>
    <w:rPr>
      <w:rFonts w:ascii="Consolas" w:hAnsi="Consolas"/>
      <w:sz w:val="22"/>
    </w:rPr>
  </w:style>
  <w:style w:styleId="FootnoteReference" w:type="character">
    <w:name w:val="footnote reference"/>
    <w:basedOn w:val="CaptionChar"/>
    <w:rPr>
      <w:vertAlign w:val="superscript"/>
    </w:rPr>
  </w:style>
  <w:style w:styleId="Hyperlink" w:type="character">
    <w:name w:val="Hyperlink"/>
    <w:basedOn w:val="Caption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b w:val="0"/>
      <w:bCs w:val="0"/>
      <w:color w:themeColor="accent1" w:themeShade="BF" w:val="365F91"/>
    </w:rPr>
  </w:style>
  <w:style w:customStyle="1" w:styleId="SourceCode" w:type="paragraph">
    <w:name w:val="Source Code"/>
    <w:basedOn w:val="Normal"/>
    <w:link w:val="VerbatimChar"/>
    <w:pPr>
      <w:wordWrap w:val="0"/>
    </w:pPr>
  </w:style>
  <w:style w:customStyle="1" w:styleId="KeywordTok" w:type="character">
    <w:name w:val="KeywordTok"/>
    <w:basedOn w:val="VerbatimChar"/>
    <w:rPr>
      <w:rFonts w:ascii="Consolas" w:hAnsi="Consolas"/>
      <w:b/>
      <w:color w:val="007020"/>
      <w:sz w:val="22"/>
    </w:rPr>
  </w:style>
  <w:style w:customStyle="1" w:styleId="DataTypeTok" w:type="character">
    <w:name w:val="DataTypeTok"/>
    <w:basedOn w:val="VerbatimChar"/>
    <w:rPr>
      <w:rFonts w:ascii="Consolas" w:hAnsi="Consolas"/>
      <w:color w:val="902000"/>
      <w:sz w:val="22"/>
    </w:rPr>
  </w:style>
  <w:style w:customStyle="1" w:styleId="DecValTok" w:type="character">
    <w:name w:val="DecValTok"/>
    <w:basedOn w:val="VerbatimChar"/>
    <w:rPr>
      <w:rFonts w:ascii="Consolas" w:hAnsi="Consolas"/>
      <w:color w:val="40A070"/>
      <w:sz w:val="22"/>
    </w:rPr>
  </w:style>
  <w:style w:customStyle="1" w:styleId="BaseNTok" w:type="character">
    <w:name w:val="BaseNTok"/>
    <w:basedOn w:val="VerbatimChar"/>
    <w:rPr>
      <w:rFonts w:ascii="Consolas" w:hAnsi="Consolas"/>
      <w:color w:val="40A070"/>
      <w:sz w:val="22"/>
    </w:rPr>
  </w:style>
  <w:style w:customStyle="1" w:styleId="FloatTok" w:type="character">
    <w:name w:val="FloatTok"/>
    <w:basedOn w:val="VerbatimChar"/>
    <w:rPr>
      <w:rFonts w:ascii="Consolas" w:hAnsi="Consolas"/>
      <w:color w:val="40A070"/>
      <w:sz w:val="22"/>
    </w:rPr>
  </w:style>
  <w:style w:customStyle="1" w:styleId="ConstantTok" w:type="character">
    <w:name w:val="ConstantTok"/>
    <w:basedOn w:val="VerbatimChar"/>
    <w:rPr>
      <w:rFonts w:ascii="Consolas" w:hAnsi="Consolas"/>
      <w:color w:val="880000"/>
      <w:sz w:val="22"/>
    </w:rPr>
  </w:style>
  <w:style w:customStyle="1" w:styleId="CharTok" w:type="character">
    <w:name w:val="CharTok"/>
    <w:basedOn w:val="VerbatimChar"/>
    <w:rPr>
      <w:rFonts w:ascii="Consolas" w:hAnsi="Consolas"/>
      <w:color w:val="4070A0"/>
      <w:sz w:val="22"/>
    </w:rPr>
  </w:style>
  <w:style w:customStyle="1" w:styleId="SpecialCharTok" w:type="character">
    <w:name w:val="SpecialCharTok"/>
    <w:basedOn w:val="VerbatimChar"/>
    <w:rPr>
      <w:rFonts w:ascii="Consolas" w:hAnsi="Consolas"/>
      <w:color w:val="4070A0"/>
      <w:sz w:val="22"/>
    </w:rPr>
  </w:style>
  <w:style w:customStyle="1" w:styleId="StringTok" w:type="character">
    <w:name w:val="StringTok"/>
    <w:basedOn w:val="VerbatimChar"/>
    <w:rPr>
      <w:rFonts w:ascii="Consolas" w:hAnsi="Consolas"/>
      <w:color w:val="4070A0"/>
      <w:sz w:val="22"/>
    </w:rPr>
  </w:style>
  <w:style w:customStyle="1" w:styleId="VerbatimStringTok" w:type="character">
    <w:name w:val="VerbatimStringTok"/>
    <w:basedOn w:val="VerbatimChar"/>
    <w:rPr>
      <w:rFonts w:ascii="Consolas" w:hAnsi="Consolas"/>
      <w:color w:val="4070A0"/>
      <w:sz w:val="22"/>
    </w:rPr>
  </w:style>
  <w:style w:customStyle="1" w:styleId="SpecialStringTok" w:type="character">
    <w:name w:val="SpecialStringTok"/>
    <w:basedOn w:val="VerbatimChar"/>
    <w:rPr>
      <w:rFonts w:ascii="Consolas" w:hAnsi="Consolas"/>
      <w:color w:val="BB6688"/>
      <w:sz w:val="22"/>
    </w:rPr>
  </w:style>
  <w:style w:customStyle="1" w:styleId="ImportTok" w:type="character">
    <w:name w:val="ImportTok"/>
    <w:basedOn w:val="VerbatimChar"/>
    <w:rPr>
      <w:rFonts w:ascii="Consolas" w:hAnsi="Consolas"/>
      <w:sz w:val="22"/>
    </w:rPr>
  </w:style>
  <w:style w:customStyle="1" w:styleId="CommentTok" w:type="character">
    <w:name w:val="CommentTok"/>
    <w:basedOn w:val="VerbatimChar"/>
    <w:rPr>
      <w:rFonts w:ascii="Consolas" w:hAnsi="Consolas"/>
      <w:i/>
      <w:color w:val="60A0B0"/>
      <w:sz w:val="22"/>
    </w:rPr>
  </w:style>
  <w:style w:customStyle="1" w:styleId="DocumentationTok" w:type="character">
    <w:name w:val="DocumentationTok"/>
    <w:basedOn w:val="VerbatimChar"/>
    <w:rPr>
      <w:rFonts w:ascii="Consolas" w:hAnsi="Consolas"/>
      <w:i/>
      <w:color w:val="BA2121"/>
      <w:sz w:val="22"/>
    </w:rPr>
  </w:style>
  <w:style w:customStyle="1" w:styleId="AnnotationTok" w:type="character">
    <w:name w:val="AnnotationTok"/>
    <w:basedOn w:val="VerbatimChar"/>
    <w:rPr>
      <w:rFonts w:ascii="Consolas" w:hAnsi="Consolas"/>
      <w:b/>
      <w:i/>
      <w:color w:val="60A0B0"/>
      <w:sz w:val="22"/>
    </w:rPr>
  </w:style>
  <w:style w:customStyle="1" w:styleId="CommentVarTok" w:type="character">
    <w:name w:val="CommentVarTok"/>
    <w:basedOn w:val="VerbatimChar"/>
    <w:rPr>
      <w:rFonts w:ascii="Consolas" w:hAnsi="Consolas"/>
      <w:b/>
      <w:i/>
      <w:color w:val="60A0B0"/>
      <w:sz w:val="22"/>
    </w:rPr>
  </w:style>
  <w:style w:customStyle="1" w:styleId="OtherTok" w:type="character">
    <w:name w:val="OtherTok"/>
    <w:basedOn w:val="VerbatimChar"/>
    <w:rPr>
      <w:rFonts w:ascii="Consolas" w:hAnsi="Consolas"/>
      <w:color w:val="007020"/>
      <w:sz w:val="22"/>
    </w:rPr>
  </w:style>
  <w:style w:customStyle="1" w:styleId="FunctionTok" w:type="character">
    <w:name w:val="FunctionTok"/>
    <w:basedOn w:val="VerbatimChar"/>
    <w:rPr>
      <w:rFonts w:ascii="Consolas" w:hAnsi="Consolas"/>
      <w:color w:val="06287E"/>
      <w:sz w:val="22"/>
    </w:rPr>
  </w:style>
  <w:style w:customStyle="1" w:styleId="VariableTok" w:type="character">
    <w:name w:val="VariableTok"/>
    <w:basedOn w:val="VerbatimChar"/>
    <w:rPr>
      <w:rFonts w:ascii="Consolas" w:hAnsi="Consolas"/>
      <w:color w:val="19177C"/>
      <w:sz w:val="22"/>
    </w:rPr>
  </w:style>
  <w:style w:customStyle="1" w:styleId="ControlFlowTok" w:type="character">
    <w:name w:val="ControlFlowTok"/>
    <w:basedOn w:val="VerbatimChar"/>
    <w:rPr>
      <w:rFonts w:ascii="Consolas" w:hAnsi="Consolas"/>
      <w:b/>
      <w:color w:val="007020"/>
      <w:sz w:val="22"/>
    </w:rPr>
  </w:style>
  <w:style w:customStyle="1" w:styleId="OperatorTok" w:type="character">
    <w:name w:val="OperatorTok"/>
    <w:basedOn w:val="VerbatimChar"/>
    <w:rPr>
      <w:rFonts w:ascii="Consolas" w:hAnsi="Consolas"/>
      <w:color w:val="666666"/>
      <w:sz w:val="22"/>
    </w:rPr>
  </w:style>
  <w:style w:customStyle="1" w:styleId="BuiltInTok" w:type="character">
    <w:name w:val="BuiltInTok"/>
    <w:basedOn w:val="VerbatimChar"/>
    <w:rPr>
      <w:rFonts w:ascii="Consolas" w:hAnsi="Consolas"/>
      <w:sz w:val="22"/>
    </w:rPr>
  </w:style>
  <w:style w:customStyle="1" w:styleId="ExtensionTok" w:type="character">
    <w:name w:val="ExtensionTok"/>
    <w:basedOn w:val="VerbatimChar"/>
    <w:rPr>
      <w:rFonts w:ascii="Consolas" w:hAnsi="Consolas"/>
      <w:sz w:val="22"/>
    </w:rPr>
  </w:style>
  <w:style w:customStyle="1" w:styleId="PreprocessorTok" w:type="character">
    <w:name w:val="PreprocessorTok"/>
    <w:basedOn w:val="VerbatimChar"/>
    <w:rPr>
      <w:rFonts w:ascii="Consolas" w:hAnsi="Consolas"/>
      <w:color w:val="BC7A00"/>
      <w:sz w:val="22"/>
    </w:rPr>
  </w:style>
  <w:style w:customStyle="1" w:styleId="AttributeTok" w:type="character">
    <w:name w:val="AttributeTok"/>
    <w:basedOn w:val="VerbatimChar"/>
    <w:rPr>
      <w:rFonts w:ascii="Consolas" w:hAnsi="Consolas"/>
      <w:color w:val="7D9029"/>
      <w:sz w:val="22"/>
    </w:rPr>
  </w:style>
  <w:style w:customStyle="1" w:styleId="RegionMarkerTok" w:type="character">
    <w:name w:val="RegionMarkerTok"/>
    <w:basedOn w:val="VerbatimChar"/>
    <w:rPr>
      <w:rFonts w:ascii="Consolas" w:hAnsi="Consolas"/>
      <w:sz w:val="22"/>
    </w:rPr>
  </w:style>
  <w:style w:customStyle="1" w:styleId="InformationTok" w:type="character">
    <w:name w:val="InformationTok"/>
    <w:basedOn w:val="VerbatimChar"/>
    <w:rPr>
      <w:rFonts w:ascii="Consolas" w:hAnsi="Consolas"/>
      <w:b/>
      <w:i/>
      <w:color w:val="60A0B0"/>
      <w:sz w:val="22"/>
    </w:rPr>
  </w:style>
  <w:style w:customStyle="1" w:styleId="WarningTok" w:type="character">
    <w:name w:val="WarningTok"/>
    <w:basedOn w:val="VerbatimChar"/>
    <w:rPr>
      <w:rFonts w:ascii="Consolas" w:hAnsi="Consolas"/>
      <w:b/>
      <w:i/>
      <w:color w:val="60A0B0"/>
      <w:sz w:val="22"/>
    </w:rPr>
  </w:style>
  <w:style w:customStyle="1" w:styleId="AlertTok" w:type="character">
    <w:name w:val="AlertTok"/>
    <w:basedOn w:val="VerbatimChar"/>
    <w:rPr>
      <w:rFonts w:ascii="Consolas" w:hAnsi="Consolas"/>
      <w:b/>
      <w:color w:val="FF0000"/>
      <w:sz w:val="22"/>
    </w:rPr>
  </w:style>
  <w:style w:customStyle="1" w:styleId="ErrorTok" w:type="character">
    <w:name w:val="ErrorTok"/>
    <w:basedOn w:val="VerbatimChar"/>
    <w:rPr>
      <w:rFonts w:ascii="Consolas" w:hAnsi="Consolas"/>
      <w:b/>
      <w:color w:val="FF0000"/>
      <w:sz w:val="22"/>
    </w:rPr>
  </w:style>
  <w:style w:customStyle="1" w:styleId="NormalTok" w:type="character">
    <w:name w:val="NormalTok"/>
    <w:basedOn w:val="VerbatimChar"/>
    <w:rPr>
      <w:rFonts w:ascii="Consolas" w:hAnsi="Consolas"/>
      <w:sz w:val="22"/>
    </w:rPr>
  </w:style>
  <w:style w:styleId="Header" w:type="paragraph">
    <w:name w:val="header"/>
    <w:basedOn w:val="Normal"/>
    <w:link w:val="HeaderChar"/>
    <w:unhideWhenUsed/>
    <w:rsid w:val="009E40FE"/>
    <w:pPr>
      <w:tabs>
        <w:tab w:pos="4680" w:val="center"/>
        <w:tab w:pos="9360" w:val="right"/>
      </w:tabs>
      <w:spacing w:after="0"/>
    </w:pPr>
  </w:style>
  <w:style w:customStyle="1" w:styleId="HeaderChar" w:type="character">
    <w:name w:val="Header Char"/>
    <w:basedOn w:val="DefaultParagraphFont"/>
    <w:link w:val="Header"/>
    <w:rsid w:val="009E40FE"/>
  </w:style>
  <w:style w:styleId="Footer" w:type="paragraph">
    <w:name w:val="footer"/>
    <w:basedOn w:val="Normal"/>
    <w:link w:val="FooterChar"/>
    <w:unhideWhenUsed/>
    <w:rsid w:val="009E40FE"/>
    <w:pPr>
      <w:tabs>
        <w:tab w:pos="4680" w:val="center"/>
        <w:tab w:pos="9360" w:val="right"/>
      </w:tabs>
      <w:spacing w:after="0"/>
    </w:pPr>
  </w:style>
  <w:style w:customStyle="1" w:styleId="FooterChar" w:type="character">
    <w:name w:val="Footer Char"/>
    <w:basedOn w:val="DefaultParagraphFont"/>
    <w:link w:val="Footer"/>
    <w:rsid w:val="009E40FE"/>
  </w:style>
  <w:style w:styleId="PageNumber" w:type="character">
    <w:name w:val="page number"/>
    <w:basedOn w:val="DefaultParagraphFont"/>
    <w:semiHidden/>
    <w:unhideWhenUsed/>
    <w:rsid w:val="004334B2"/>
  </w:style>
  <w:style w:styleId="FollowedHyperlink" w:type="character">
    <w:name w:val="FollowedHyperlink"/>
    <w:basedOn w:val="DefaultParagraphFont"/>
    <w:semiHidden/>
    <w:unhideWhenUsed/>
    <w:rsid w:val="0007094A"/>
    <w:rPr>
      <w:color w:themeColor="followedHyperlink"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arget="header3.xml" Type="http://schemas.openxmlformats.org/officeDocument/2006/relationships/header" /><Relationship Id="rId10" Target="header1.xml" Type="http://schemas.openxmlformats.org/officeDocument/2006/relationships/header" /><Relationship Id="rId11" Target="header2.xml" Type="http://schemas.openxmlformats.org/officeDocument/2006/relationships/header" /><Relationship Id="rId12" Target="footer2.xml" Type="http://schemas.openxmlformats.org/officeDocument/2006/relationships/footer" /><Relationship Id="rId13" Target="footer3.xml" Type="http://schemas.openxmlformats.org/officeDocument/2006/relationships/footer" /><Relationship Id="rId14" Target="footer1.xml" Type="http://schemas.openxmlformats.org/officeDocument/2006/relationships/footer" /><Relationship Type="http://schemas.openxmlformats.org/officeDocument/2006/relationships/image" Id="rId28" Target="media/rId28.png" /><Relationship Type="http://schemas.openxmlformats.org/officeDocument/2006/relationships/image" Id="rId21" Target="media/rId21.png" /></Relationships>
</file>

<file path=word/_rels/footnotes.xml.rels><?xml version="1.0" encoding="UTF-8"?><Relationships xmlns="http://schemas.openxmlformats.org/package/2006/relationships" />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1</Words>
  <Characters>11</Characters>
  <Application>Microsoft Macintosh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2022-12-14T15:54:34Z</dcterms:created>
  <dcterms:modified xsi:type="dcterms:W3CDTF">2022-12-14T15:54:34Z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srf-param">
    <vt:lpwstr>authenticity_token</vt:lpwstr>
  </property>
  <property fmtid="{D5CDD505-2E9C-101B-9397-08002B2CF9AE}" pid="3" name="csrf-token">
    <vt:lpwstr>FKekQa8CrhZ71n+zGikDeBULRigR3nTn+FNuyV4Bt1Iwo+EYw4pWS74y3K1LTS8QLOM/rgVUKfx92Yu5Kg60Dw==</vt:lpwstr>
  </property>
</Properties>
</file>