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52.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lesson-1-name-the-parts"/>
    <w:p>
      <w:pPr>
        <w:pStyle w:val="Heading1"/>
      </w:pPr>
      <w:r>
        <w:t xml:space="preserve">Lesson 1: Name the Parts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2.G.A.3</w:t>
            </w:r>
          </w:p>
        </w:tc>
      </w:tr>
      <w:tr>
        <w:tc>
          <w:tcPr/>
          <w:p>
            <w:pPr>
              <w:pStyle w:val="Compact"/>
              <w:jc w:val="left"/>
            </w:pPr>
            <w:r>
              <w:t xml:space="preserve">Addressing</w:t>
            </w:r>
          </w:p>
        </w:tc>
        <w:tc>
          <w:tcPr/>
          <w:p>
            <w:pPr>
              <w:pStyle w:val="Compact"/>
              <w:jc w:val="left"/>
            </w:pPr>
            <w:r>
              <w:t xml:space="preserve">3.G.A.2, 3.NF.A.1</w:t>
            </w:r>
          </w:p>
        </w:tc>
      </w:tr>
      <w:tr>
        <w:tc>
          <w:tcPr/>
          <w:p>
            <w:pPr>
              <w:pStyle w:val="Compact"/>
              <w:jc w:val="left"/>
            </w:pPr>
            <w:r>
              <w:t xml:space="preserve">Building Towards</w:t>
            </w:r>
          </w:p>
        </w:tc>
        <w:tc>
          <w:tcPr/>
          <w:p>
            <w:pPr>
              <w:pStyle w:val="Compact"/>
              <w:jc w:val="left"/>
            </w:pPr>
            <w:r>
              <w:t xml:space="preserve">3.G.A.2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Partition shapes into 2, 3, 4, 6, or 8 parts with equal area and name those parts as halves, thirds, fourths, sixths, and eighths.</w:t>
      </w:r>
    </w:p>
    <w:p>
      <w:pPr>
        <w:numPr>
          <w:ilvl w:val="0"/>
          <w:numId w:val="1001"/>
        </w:numPr>
        <w:pStyle w:val="Compact"/>
      </w:pPr>
      <w:r>
        <w:t xml:space="preserve">Recognize that equal-size parts in a shape can be named with numbers called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name parts of a whole.</w:t>
      </w:r>
    </w:p>
    <w:bookmarkEnd w:id="25"/>
    <w:bookmarkStart w:id="26" w:name="lesson-purpose"/>
    <w:p>
      <w:pPr>
        <w:pStyle w:val="Heading3"/>
      </w:pPr>
      <w:r>
        <w:t xml:space="preserve">Lesson Purpose</w:t>
      </w:r>
    </w:p>
    <w:p>
      <w:pPr>
        <w:pStyle w:val="FirstParagraph"/>
      </w:pPr>
      <w:r>
        <w:t xml:space="preserve">The purpose of this lesson is for students to be introduced to</w:t>
      </w:r>
      <w:r>
        <w:t xml:space="preserve"> </w:t>
      </w:r>
      <w:r>
        <w:rPr>
          <w:bCs/>
          <w:b/>
        </w:rPr>
        <w:t xml:space="preserve">fractions</w:t>
      </w:r>
      <w:r>
        <w:t xml:space="preserve"> </w:t>
      </w:r>
      <w:r>
        <w:t xml:space="preserve">as numbers we write to describe the parts of a whole that has been partitioned into equal parts.</w:t>
      </w:r>
    </w:p>
    <w:p>
      <w:pPr>
        <w:pStyle w:val="BodyText"/>
      </w:pPr>
      <w:r>
        <w:t xml:space="preserve">In previous grades, students partitioned circles and rectangles into two, three, or four equal pieces and described the pieces as “halves,” “thirds,” and “fourths.” They used the more concrete term “pieces.”</w:t>
      </w:r>
    </w:p>
    <w:p>
      <w:pPr>
        <w:pStyle w:val="BodyText"/>
      </w:pPr>
      <w:r>
        <w:t xml:space="preserve">In this lesson, students extend this understanding to partition rectangles into six or eight equal parts and describe the parts as sixths or eighths. The term “parts” is used in these materials moving forward, but students recognize that “pieces” and “parts” are interchangeable and can use either one.</w:t>
      </w:r>
    </w:p>
    <w:p>
      <w:pPr>
        <w:pStyle w:val="BodyText"/>
      </w:pPr>
      <w:r>
        <w:t xml:space="preserve">In the lesson synthesis, students learn the fractions</w:t>
      </w:r>
      <w:r>
        <w:t xml:space="preserve"> </w:t>
      </w:r>
      <m:oMath>
        <m:f>
          <m:fPr>
            <m:type m:val="bar"/>
          </m:fPr>
          <m:num>
            <m:r>
              <m:t>1</m:t>
            </m:r>
          </m:num>
          <m:den>
            <m:r>
              <m:t>2</m:t>
            </m:r>
          </m:den>
        </m:f>
      </m:oMath>
      <w:r>
        <w:t xml:space="preserve">,</w:t>
      </w:r>
      <w:r>
        <w:t xml:space="preserve"> </w:t>
      </w:r>
      <m:oMath>
        <m:f>
          <m:fPr>
            <m:type m:val="bar"/>
          </m:fPr>
          <m:num>
            <m:r>
              <m:t>1</m:t>
            </m:r>
          </m:num>
          <m:den>
            <m:r>
              <m:t>3</m:t>
            </m:r>
          </m:den>
        </m:f>
      </m:oMath>
      <w:r>
        <w:t xml:space="preserve">,</w:t>
      </w:r>
      <w:r>
        <w:t xml:space="preserve"> </w:t>
      </w:r>
      <m:oMath>
        <m:f>
          <m:fPr>
            <m:type m:val="bar"/>
          </m:fPr>
          <m:num>
            <m:r>
              <m:t>1</m:t>
            </m:r>
          </m:num>
          <m:den>
            <m:r>
              <m:t>4</m:t>
            </m:r>
          </m:den>
        </m:f>
      </m:oMath>
      <w:r>
        <w:t xml:space="preserve">,</w:t>
      </w:r>
      <w:r>
        <w:t xml:space="preserve"> </w:t>
      </w:r>
      <m:oMath>
        <m:f>
          <m:fPr>
            <m:type m:val="bar"/>
          </m:fPr>
          <m:num>
            <m:r>
              <m:t>1</m:t>
            </m:r>
          </m:num>
          <m:den>
            <m:r>
              <m:t>6</m:t>
            </m:r>
          </m:den>
        </m:f>
      </m:oMath>
      <w:r>
        <w:t xml:space="preserve">, and</w:t>
      </w:r>
      <w:r>
        <w:t xml:space="preserve"> </w:t>
      </w:r>
      <m:oMath>
        <m:f>
          <m:fPr>
            <m:type m:val="bar"/>
          </m:fPr>
          <m:num>
            <m:r>
              <m:t>1</m:t>
            </m:r>
          </m:num>
          <m:den>
            <m:r>
              <m:t>8</m:t>
            </m:r>
          </m:den>
        </m:f>
      </m:oMath>
      <w:r>
        <w:t xml:space="preserve"> </w:t>
      </w:r>
      <w:r>
        <w:t xml:space="preserve">as the numbers used to represent the parts described as one half, one third, one fourth, one sixth, and one eighth.</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Card Sort (Activity 1), Which One Doesn’t Belong? (Warm-up)</w:t>
      </w:r>
    </w:p>
    <w:bookmarkEnd w:id="36"/>
    <w:bookmarkStart w:id="37" w:name="materials-to-copy"/>
    <w:p>
      <w:pPr>
        <w:pStyle w:val="Heading3"/>
      </w:pPr>
      <w:r>
        <w:t xml:space="preserve">Materials to Copy</w:t>
      </w:r>
    </w:p>
    <w:p>
      <w:pPr>
        <w:numPr>
          <w:ilvl w:val="0"/>
          <w:numId w:val="1005"/>
        </w:numPr>
        <w:pStyle w:val="Compact"/>
      </w:pPr>
      <w:r>
        <w:t xml:space="preserve">Card Sort: Partitions (groups of 2): Activity 1</w:t>
      </w:r>
    </w:p>
    <w:p>
      <w:pPr>
        <w:numPr>
          <w:ilvl w:val="0"/>
          <w:numId w:val="1005"/>
        </w:numPr>
        <w:pStyle w:val="Compact"/>
      </w:pPr>
      <w:r>
        <w:t xml:space="preserve">Fold and Name (groups of 4):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grade 2, students learned to partition rectangles and were introduced to halves, thirds, and fourths. How did they leverage their prior experiences as they were introduced to fractions in this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Partition a Rectangle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3.G.A.2</w:t>
            </w:r>
          </w:p>
        </w:tc>
      </w:tr>
    </w:tbl>
    <w:bookmarkEnd w:id="44"/>
    <w:bookmarkStart w:id="48" w:name="student-facing-task-statement"/>
    <w:p>
      <w:pPr>
        <w:pStyle w:val="Heading3"/>
      </w:pPr>
      <w:r>
        <w:t xml:space="preserve">Student-facing Task Statement</w:t>
      </w:r>
    </w:p>
    <w:p>
      <w:pPr>
        <w:pStyle w:val="FirstParagraph"/>
      </w:pPr>
      <w:r>
        <w:t xml:space="preserve">Partition the rectangle into eighths.</w:t>
      </w:r>
    </w:p>
    <w:p>
      <w:pPr>
        <w:pStyle w:val="BodyText"/>
      </w:pPr>
      <w:r>
        <w:drawing>
          <wp:inline>
            <wp:extent cx="1920239" cy="1005845"/>
            <wp:effectExtent b="0" l="0" r="0" t="0"/>
            <wp:docPr descr="Diagram. Rectangle." title="" id="46" name="Picture"/>
            <a:graphic>
              <a:graphicData uri="http://schemas.openxmlformats.org/drawingml/2006/picture">
                <pic:pic>
                  <pic:nvPicPr>
                    <pic:cNvPr descr="/app/tmp/embedder-1671013269.3645177.png" id="47" name="Picture"/>
                    <pic:cNvPicPr>
                      <a:picLocks noChangeArrowheads="1" noChangeAspect="1"/>
                    </pic:cNvPicPr>
                  </pic:nvPicPr>
                  <pic:blipFill>
                    <a:blip r:embed="rId45"/>
                    <a:stretch>
                      <a:fillRect/>
                    </a:stretch>
                  </pic:blipFill>
                  <pic:spPr bwMode="auto">
                    <a:xfrm>
                      <a:off x="0" y="0"/>
                      <a:ext cx="1920239" cy="1005845"/>
                    </a:xfrm>
                    <a:prstGeom prst="rect">
                      <a:avLst/>
                    </a:prstGeom>
                    <a:noFill/>
                    <a:ln w="9525">
                      <a:noFill/>
                      <a:headEnd/>
                      <a:tailEnd/>
                    </a:ln>
                  </pic:spPr>
                </pic:pic>
              </a:graphicData>
            </a:graphic>
          </wp:inline>
        </w:drawing>
      </w:r>
    </w:p>
    <w:bookmarkEnd w:id="48"/>
    <w:bookmarkStart w:id="55" w:name="student-responses"/>
    <w:p>
      <w:pPr>
        <w:pStyle w:val="Heading3"/>
      </w:pPr>
      <w:r>
        <w:t xml:space="preserve">Student Responses</w:t>
      </w:r>
    </w:p>
    <w:p>
      <w:pPr>
        <w:pStyle w:val="FirstParagraph"/>
      </w:pPr>
      <w:r>
        <w:t xml:space="preserve">Any drawing that shows 8 equal parts is acceptable.</w:t>
      </w:r>
    </w:p>
    <w:p>
      <w:pPr>
        <w:pStyle w:val="BodyText"/>
      </w:pPr>
      <w:r>
        <w:t xml:space="preserve">Sample responses:</w:t>
      </w:r>
    </w:p>
    <w:p>
      <w:pPr>
        <w:pStyle w:val="BodyText"/>
      </w:pPr>
      <w:r>
        <w:drawing>
          <wp:inline>
            <wp:extent cx="1920239" cy="1005845"/>
            <wp:effectExtent b="0" l="0" r="0" t="0"/>
            <wp:docPr descr="Diagram. Rectangle partitioned into 8 equal parts." title="" id="50" name="Picture"/>
            <a:graphic>
              <a:graphicData uri="http://schemas.openxmlformats.org/drawingml/2006/picture">
                <pic:pic>
                  <pic:nvPicPr>
                    <pic:cNvPr descr="/app/tmp/embedder-1671013269.4725263.png" id="51" name="Picture"/>
                    <pic:cNvPicPr>
                      <a:picLocks noChangeArrowheads="1" noChangeAspect="1"/>
                    </pic:cNvPicPr>
                  </pic:nvPicPr>
                  <pic:blipFill>
                    <a:blip r:embed="rId49"/>
                    <a:stretch>
                      <a:fillRect/>
                    </a:stretch>
                  </pic:blipFill>
                  <pic:spPr bwMode="auto">
                    <a:xfrm>
                      <a:off x="0" y="0"/>
                      <a:ext cx="1920239" cy="1005845"/>
                    </a:xfrm>
                    <a:prstGeom prst="rect">
                      <a:avLst/>
                    </a:prstGeom>
                    <a:noFill/>
                    <a:ln w="9525">
                      <a:noFill/>
                      <a:headEnd/>
                      <a:tailEnd/>
                    </a:ln>
                  </pic:spPr>
                </pic:pic>
              </a:graphicData>
            </a:graphic>
          </wp:inline>
        </w:drawing>
      </w:r>
    </w:p>
    <w:p>
      <w:pPr>
        <w:pStyle w:val="BodyText"/>
      </w:pPr>
      <w:r>
        <w:drawing>
          <wp:inline>
            <wp:extent cx="1920239" cy="1005845"/>
            <wp:effectExtent b="0" l="0" r="0" t="0"/>
            <wp:docPr descr="Diagram." title="" id="53" name="Picture"/>
            <a:graphic>
              <a:graphicData uri="http://schemas.openxmlformats.org/drawingml/2006/picture">
                <pic:pic>
                  <pic:nvPicPr>
                    <pic:cNvPr descr="/app/tmp/embedder-1671013269.5487146.png" id="54" name="Picture"/>
                    <pic:cNvPicPr>
                      <a:picLocks noChangeArrowheads="1" noChangeAspect="1"/>
                    </pic:cNvPicPr>
                  </pic:nvPicPr>
                  <pic:blipFill>
                    <a:blip r:embed="rId52"/>
                    <a:stretch>
                      <a:fillRect/>
                    </a:stretch>
                  </pic:blipFill>
                  <pic:spPr bwMode="auto">
                    <a:xfrm>
                      <a:off x="0" y="0"/>
                      <a:ext cx="1920239" cy="1005845"/>
                    </a:xfrm>
                    <a:prstGeom prst="rect">
                      <a:avLst/>
                    </a:prstGeom>
                    <a:noFill/>
                    <a:ln w="9525">
                      <a:noFill/>
                      <a:headEnd/>
                      <a:tailEnd/>
                    </a:ln>
                  </pic:spPr>
                </pic:pic>
              </a:graphicData>
            </a:graphic>
          </wp:inline>
        </w:drawing>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2022-12-14T10:21:10Z</dcterms:created>
  <dcterms:modified xsi:type="dcterms:W3CDTF">2022-12-14T10:21:10Z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b6Iv02NgyfON574gxJVYJLWgjv3J2hFJ8csqQ6WAjg9LpmqKD+gxrkgDHT6V8XRMjEj3e91QTFJ0Qc8z0Y+NUg==</vt:lpwstr>
  </property>
</Properties>
</file>