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lesson-9-partes-iguales"/>
    <w:p>
      <w:pPr>
        <w:pStyle w:val="Heading1"/>
      </w:pPr>
      <w:r>
        <w:t xml:space="preserve">Lesson 9: Partes iguales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1.G.A.3</w:t>
            </w:r>
          </w:p>
        </w:tc>
      </w:tr>
      <w:tr>
        <w:tc>
          <w:tcPr/>
          <w:p>
            <w:pPr>
              <w:pStyle w:val="Compact"/>
              <w:jc w:val="left"/>
            </w:pPr>
            <w:r>
              <w:t xml:space="preserve">Addressing</w:t>
            </w:r>
          </w:p>
        </w:tc>
        <w:tc>
          <w:tcPr/>
          <w:p>
            <w:pPr>
              <w:pStyle w:val="Compact"/>
              <w:jc w:val="left"/>
            </w:pPr>
            <w:r>
              <w:t xml:space="preserve">1.G.A, 1.G.A.3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whether shapes are partitioned into equal pieces.</w:t>
      </w:r>
    </w:p>
    <w:p>
      <w:pPr>
        <w:numPr>
          <w:ilvl w:val="0"/>
          <w:numId w:val="1001"/>
        </w:numPr>
        <w:pStyle w:val="Compact"/>
      </w:pPr>
      <w:r>
        <w:t xml:space="preserve">Partition circles and rectangles into halves and fourths.</w:t>
      </w:r>
    </w:p>
    <w:bookmarkEnd w:id="24"/>
    <w:bookmarkStart w:id="25" w:name="student-facing-learning-goals"/>
    <w:p>
      <w:pPr>
        <w:pStyle w:val="Heading3"/>
      </w:pPr>
      <w:r>
        <w:t xml:space="preserve">Student-facing Learning Goals</w:t>
      </w:r>
    </w:p>
    <w:p>
      <w:pPr>
        <w:numPr>
          <w:ilvl w:val="0"/>
          <w:numId w:val="1002"/>
        </w:numPr>
        <w:pStyle w:val="Compact"/>
      </w:pPr>
      <w:r>
        <w:t xml:space="preserve">Partamos figuras en partes de igual tamaño.</w:t>
      </w:r>
    </w:p>
    <w:bookmarkEnd w:id="25"/>
    <w:bookmarkStart w:id="26" w:name="lesson-purpose"/>
    <w:p>
      <w:pPr>
        <w:pStyle w:val="Heading3"/>
      </w:pPr>
      <w:r>
        <w:t xml:space="preserve">Lesson Purpose</w:t>
      </w:r>
    </w:p>
    <w:p>
      <w:pPr>
        <w:pStyle w:val="FirstParagraph"/>
      </w:pPr>
      <w:r>
        <w:t xml:space="preserve">The purpose of this lesson is for students to partition circles and rectangles into halves and fourths and determine whether a shape is partitioned into equal pieces.</w:t>
      </w:r>
    </w:p>
    <w:p>
      <w:pPr>
        <w:pStyle w:val="BodyText"/>
      </w:pPr>
      <w:r>
        <w:t xml:space="preserve">In previous lessons, students created two- and three-dimensional shapes from smaller shapes.</w:t>
      </w:r>
    </w:p>
    <w:p>
      <w:pPr>
        <w:pStyle w:val="BodyText"/>
      </w:pPr>
      <w:r>
        <w:t xml:space="preserve">Students begin this lesson by composing shapes and compare those made with equal pieces to those made with unequal pieces. Then, they partition shapes into two and four equal size pieces and learn the terms</w:t>
      </w:r>
      <w:r>
        <w:t xml:space="preserve"> </w:t>
      </w:r>
      <w:r>
        <w:rPr>
          <w:bCs/>
          <w:b/>
        </w:rPr>
        <w:t xml:space="preserve">halves</w:t>
      </w:r>
      <w:r>
        <w:t xml:space="preserve"> </w:t>
      </w:r>
      <w:r>
        <w:t xml:space="preserve">and</w:t>
      </w:r>
      <w:r>
        <w:t xml:space="preserve"> </w:t>
      </w:r>
      <w:r>
        <w:rPr>
          <w:bCs/>
          <w:b/>
        </w:rPr>
        <w:t xml:space="preserve">fourths</w:t>
      </w:r>
      <w:r>
        <w:t xml:space="preserve">. Students do not have to create exactly equal pieces, but they should be able to explain that the pieces should be equal.</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Scissors: Activity 2</w:t>
      </w:r>
    </w:p>
    <w:bookmarkEnd w:id="37"/>
    <w:bookmarkStart w:id="38" w:name="materials-to-copy"/>
    <w:p>
      <w:pPr>
        <w:pStyle w:val="Heading3"/>
      </w:pPr>
      <w:r>
        <w:t xml:space="preserve">Materials to Copy</w:t>
      </w:r>
    </w:p>
    <w:p>
      <w:pPr>
        <w:numPr>
          <w:ilvl w:val="0"/>
          <w:numId w:val="1006"/>
        </w:numPr>
        <w:pStyle w:val="Compact"/>
      </w:pPr>
      <w:r>
        <w:t xml:space="preserve">Pieces of Circles (groups of 8): Activity 1</w:t>
      </w:r>
    </w:p>
    <w:p>
      <w:pPr>
        <w:numPr>
          <w:ilvl w:val="0"/>
          <w:numId w:val="1006"/>
        </w:numPr>
        <w:pStyle w:val="Compact"/>
      </w:pPr>
      <w:r>
        <w:t xml:space="preserve">Circles and Squares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does this work build the foundation for understanding fractions in later grades? How is this introductory work different from the work student will do beginning in Grade 3?</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Parte figuras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1.G.A.3</w:t>
            </w:r>
          </w:p>
        </w:tc>
      </w:tr>
    </w:tbl>
    <w:bookmarkEnd w:id="45"/>
    <w:bookmarkStart w:id="52" w:name="student-facing-task-statement"/>
    <w:p>
      <w:pPr>
        <w:pStyle w:val="Heading3"/>
      </w:pPr>
      <w:r>
        <w:t xml:space="preserve">Student-facing Task Statement</w:t>
      </w:r>
    </w:p>
    <w:p>
      <w:pPr>
        <w:numPr>
          <w:ilvl w:val="0"/>
          <w:numId w:val="1007"/>
        </w:numPr>
      </w:pPr>
      <w:r>
        <w:t xml:space="preserve">Parte el cuadrado en mitades.</w:t>
      </w:r>
    </w:p>
    <w:p>
      <w:pPr>
        <w:numPr>
          <w:ilvl w:val="0"/>
          <w:numId w:val="1000"/>
        </w:numPr>
        <w:pStyle w:val="Compact"/>
      </w:pPr>
      <w:r>
        <w:drawing>
          <wp:inline>
            <wp:extent cx="1920239" cy="1920239"/>
            <wp:effectExtent b="0" l="0" r="0" t="0"/>
            <wp:docPr descr="" title="" id="47" name="Picture"/>
            <a:graphic>
              <a:graphicData uri="http://schemas.openxmlformats.org/drawingml/2006/picture">
                <pic:pic>
                  <pic:nvPicPr>
                    <pic:cNvPr descr="/app/tmp/embedder-1671059756.6430538.png" id="48" name="Picture"/>
                    <pic:cNvPicPr>
                      <a:picLocks noChangeArrowheads="1" noChangeAspect="1"/>
                    </pic:cNvPicPr>
                  </pic:nvPicPr>
                  <pic:blipFill>
                    <a:blip r:embed="rId46"/>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7"/>
        </w:numPr>
      </w:pPr>
      <w:r>
        <w:t xml:space="preserve">Parte el círculo en cuartos.</w:t>
      </w:r>
    </w:p>
    <w:p>
      <w:pPr>
        <w:numPr>
          <w:ilvl w:val="0"/>
          <w:numId w:val="1000"/>
        </w:numPr>
        <w:pStyle w:val="Compact"/>
      </w:pPr>
      <w:r>
        <w:drawing>
          <wp:inline>
            <wp:extent cx="1920239" cy="1920239"/>
            <wp:effectExtent b="0" l="0" r="0" t="0"/>
            <wp:docPr descr="" title="" id="50" name="Picture"/>
            <a:graphic>
              <a:graphicData uri="http://schemas.openxmlformats.org/drawingml/2006/picture">
                <pic:pic>
                  <pic:nvPicPr>
                    <pic:cNvPr descr="/app/tmp/embedder-1671059756.7245545.png" id="51" name="Picture"/>
                    <pic:cNvPicPr>
                      <a:picLocks noChangeArrowheads="1" noChangeAspect="1"/>
                    </pic:cNvPicPr>
                  </pic:nvPicPr>
                  <pic:blipFill>
                    <a:blip r:embed="rId49"/>
                    <a:stretch>
                      <a:fillRect/>
                    </a:stretch>
                  </pic:blipFill>
                  <pic:spPr bwMode="auto">
                    <a:xfrm>
                      <a:off x="0" y="0"/>
                      <a:ext cx="1920239" cy="1920239"/>
                    </a:xfrm>
                    <a:prstGeom prst="rect">
                      <a:avLst/>
                    </a:prstGeom>
                    <a:noFill/>
                    <a:ln w="9525">
                      <a:noFill/>
                      <a:headEnd/>
                      <a:tailEnd/>
                    </a:ln>
                  </pic:spPr>
                </pic:pic>
              </a:graphicData>
            </a:graphic>
          </wp:inline>
        </w:drawing>
      </w:r>
    </w:p>
    <w:bookmarkEnd w:id="52"/>
    <w:bookmarkStart w:id="53" w:name="student-responses"/>
    <w:p>
      <w:pPr>
        <w:pStyle w:val="Heading3"/>
      </w:pPr>
      <w:r>
        <w:t xml:space="preserve">Student Responses</w:t>
      </w:r>
    </w:p>
    <w:p>
      <w:pPr>
        <w:numPr>
          <w:ilvl w:val="0"/>
          <w:numId w:val="1008"/>
        </w:numPr>
        <w:pStyle w:val="Compact"/>
      </w:pPr>
      <w:r>
        <w:t xml:space="preserve">Equally partitions square into two equal pieces.</w:t>
      </w:r>
    </w:p>
    <w:p>
      <w:pPr>
        <w:numPr>
          <w:ilvl w:val="0"/>
          <w:numId w:val="1008"/>
        </w:numPr>
        <w:pStyle w:val="Compact"/>
      </w:pPr>
      <w:r>
        <w:t xml:space="preserve">Equally partitions circle into four equal pieces.</w:t>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2022-12-14T23:15:57Z</dcterms:created>
  <dcterms:modified xsi:type="dcterms:W3CDTF">2022-12-14T23:15:57Z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hd7NmNTXYlnwQXSOQW+mlnGZ0+0x+8NT7CZnkVyZ2/ah2ojBuF+aBDWl15AQC4r+SHGqayVxnkhprILhKJbYqw==</vt:lpwstr>
  </property>
</Properties>
</file>