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Sketch the graph of the function defined by the sum of function</w:t>
      </w:r>
      <w:r>
        <w:t xml:space="preserve"> </w:t>
      </w:r>
      <m:oMath>
        <m:r>
          <m:t>F</m:t>
        </m:r>
      </m:oMath>
      <w:r>
        <w:t xml:space="preserve"> </w:t>
      </w:r>
      <w:r>
        <w:t xml:space="preserve">and each of these functions.</w:t>
      </w:r>
    </w:p>
    <w:p>
      <w:pPr>
        <w:numPr>
          <w:ilvl w:val="0"/>
          <w:numId w:val="1000"/>
        </w:numPr>
        <w:pStyle w:val="Compact"/>
      </w:pPr>
      <w:r>
        <w:drawing>
          <wp:inline>
            <wp:extent cx="2574671" cy="2505925"/>
            <wp:effectExtent b="0" l="0" r="0" t="0"/>
            <wp:docPr descr="Functions y of x and a of x." title="" id="22" name="Picture"/>
            <a:graphic>
              <a:graphicData uri="http://schemas.openxmlformats.org/drawingml/2006/picture">
                <pic:pic>
                  <pic:nvPicPr>
                    <pic:cNvPr descr="/app/tmp/embedder-1671002124.5746748.png" id="23" name="Picture"/>
                    <pic:cNvPicPr>
                      <a:picLocks noChangeArrowheads="1" noChangeAspect="1"/>
                    </pic:cNvPicPr>
                  </pic:nvPicPr>
                  <pic:blipFill>
                    <a:blip r:embed="rId21"/>
                    <a:stretch>
                      <a:fillRect/>
                    </a:stretch>
                  </pic:blipFill>
                  <pic:spPr bwMode="auto">
                    <a:xfrm>
                      <a:off x="0" y="0"/>
                      <a:ext cx="2574671" cy="2505925"/>
                    </a:xfrm>
                    <a:prstGeom prst="rect">
                      <a:avLst/>
                    </a:prstGeom>
                    <a:noFill/>
                    <a:ln w="9525">
                      <a:noFill/>
                      <a:headEnd/>
                      <a:tailEnd/>
                    </a:ln>
                  </pic:spPr>
                </pic:pic>
              </a:graphicData>
            </a:graphic>
          </wp:inline>
        </w:drawing>
      </w:r>
    </w:p>
    <w:p>
      <w:pPr>
        <w:numPr>
          <w:ilvl w:val="0"/>
          <w:numId w:val="1000"/>
        </w:numPr>
        <w:pStyle w:val="Compact"/>
      </w:pPr>
      <w:r>
        <w:drawing>
          <wp:inline>
            <wp:extent cx="2574671" cy="2505925"/>
            <wp:effectExtent b="0" l="0" r="0" t="0"/>
            <wp:docPr descr="Functions f of x and b of x." title="" id="25" name="Picture"/>
            <a:graphic>
              <a:graphicData uri="http://schemas.openxmlformats.org/drawingml/2006/picture">
                <pic:pic>
                  <pic:nvPicPr>
                    <pic:cNvPr descr="/app/tmp/embedder-1671002124.6567123.png" id="26" name="Picture"/>
                    <pic:cNvPicPr>
                      <a:picLocks noChangeArrowheads="1" noChangeAspect="1"/>
                    </pic:cNvPicPr>
                  </pic:nvPicPr>
                  <pic:blipFill>
                    <a:blip r:embed="rId24"/>
                    <a:stretch>
                      <a:fillRect/>
                    </a:stretch>
                  </pic:blipFill>
                  <pic:spPr bwMode="auto">
                    <a:xfrm>
                      <a:off x="0" y="0"/>
                      <a:ext cx="2574671" cy="2505925"/>
                    </a:xfrm>
                    <a:prstGeom prst="rect">
                      <a:avLst/>
                    </a:prstGeom>
                    <a:noFill/>
                    <a:ln w="9525">
                      <a:noFill/>
                      <a:headEnd/>
                      <a:tailEnd/>
                    </a:ln>
                  </pic:spPr>
                </pic:pic>
              </a:graphicData>
            </a:graphic>
          </wp:inline>
        </w:drawing>
      </w:r>
    </w:p>
    <w:p>
      <w:pPr>
        <w:numPr>
          <w:ilvl w:val="0"/>
          <w:numId w:val="1000"/>
        </w:numPr>
        <w:pStyle w:val="Compact"/>
      </w:pPr>
      <w:r>
        <w:drawing>
          <wp:inline>
            <wp:extent cx="2574671" cy="2505925"/>
            <wp:effectExtent b="0" l="0" r="0" t="0"/>
            <wp:docPr descr="Functions f of x and c of x." title="" id="28" name="Picture"/>
            <a:graphic>
              <a:graphicData uri="http://schemas.openxmlformats.org/drawingml/2006/picture">
                <pic:pic>
                  <pic:nvPicPr>
                    <pic:cNvPr descr="/app/tmp/embedder-1671002124.7512932.png" id="29" name="Picture"/>
                    <pic:cNvPicPr>
                      <a:picLocks noChangeArrowheads="1" noChangeAspect="1"/>
                    </pic:cNvPicPr>
                  </pic:nvPicPr>
                  <pic:blipFill>
                    <a:blip r:embed="rId27"/>
                    <a:stretch>
                      <a:fillRect/>
                    </a:stretch>
                  </pic:blipFill>
                  <pic:spPr bwMode="auto">
                    <a:xfrm>
                      <a:off x="0" y="0"/>
                      <a:ext cx="2574671" cy="2505925"/>
                    </a:xfrm>
                    <a:prstGeom prst="rect">
                      <a:avLst/>
                    </a:prstGeom>
                    <a:noFill/>
                    <a:ln w="9525">
                      <a:noFill/>
                      <a:headEnd/>
                      <a:tailEnd/>
                    </a:ln>
                  </pic:spPr>
                </pic:pic>
              </a:graphicData>
            </a:graphic>
          </wp:inline>
        </w:drawing>
      </w:r>
    </w:p>
    <w:p>
      <w:pPr>
        <w:numPr>
          <w:ilvl w:val="0"/>
          <w:numId w:val="1000"/>
        </w:numPr>
        <w:pStyle w:val="Compact"/>
      </w:pPr>
      <w:r>
        <w:drawing>
          <wp:inline>
            <wp:extent cx="2574671" cy="2505913"/>
            <wp:effectExtent b="0" l="0" r="0" t="0"/>
            <wp:docPr descr="Functions f of x and d of x." title="" id="31" name="Picture"/>
            <a:graphic>
              <a:graphicData uri="http://schemas.openxmlformats.org/drawingml/2006/picture">
                <pic:pic>
                  <pic:nvPicPr>
                    <pic:cNvPr descr="/app/tmp/embedder-1671002124.837403.png" id="32" name="Picture"/>
                    <pic:cNvPicPr>
                      <a:picLocks noChangeArrowheads="1" noChangeAspect="1"/>
                    </pic:cNvPicPr>
                  </pic:nvPicPr>
                  <pic:blipFill>
                    <a:blip r:embed="rId30"/>
                    <a:stretch>
                      <a:fillRect/>
                    </a:stretch>
                  </pic:blipFill>
                  <pic:spPr bwMode="auto">
                    <a:xfrm>
                      <a:off x="0" y="0"/>
                      <a:ext cx="2574671" cy="2505913"/>
                    </a:xfrm>
                    <a:prstGeom prst="rect">
                      <a:avLst/>
                    </a:prstGeom>
                    <a:noFill/>
                    <a:ln w="9525">
                      <a:noFill/>
                      <a:headEnd/>
                      <a:tailEnd/>
                    </a:ln>
                  </pic:spPr>
                </pic:pic>
              </a:graphicData>
            </a:graphic>
          </wp:inline>
        </w:drawing>
      </w:r>
    </w:p>
    <w:p>
      <w:pPr>
        <w:numPr>
          <w:ilvl w:val="0"/>
          <w:numId w:val="1001"/>
        </w:numPr>
      </w:pPr>
      <w:r>
        <w:t xml:space="preserve">Here are graphs of two functions</w:t>
      </w:r>
      <w:r>
        <w:t xml:space="preserve"> </w:t>
      </w:r>
      <m:oMath>
        <m:r>
          <m:t>f</m:t>
        </m:r>
      </m:oMath>
      <w:r>
        <w:t xml:space="preserve"> </w:t>
      </w:r>
      <w:r>
        <w:t xml:space="preserve">and</w:t>
      </w:r>
      <w:r>
        <w:t xml:space="preserve"> </w:t>
      </w:r>
      <m:oMath>
        <m:r>
          <m:t>g</m:t>
        </m:r>
      </m:oMath>
      <w:r>
        <w:t xml:space="preserve">. The function</w:t>
      </w:r>
      <w:r>
        <w:t xml:space="preserve"> </w:t>
      </w:r>
      <m:oMath>
        <m:r>
          <m:t>h</m:t>
        </m:r>
      </m:oMath>
      <w:r>
        <w:t xml:space="preserve"> </w:t>
      </w:r>
      <w:r>
        <w:t xml:space="preserve">is defined by</w:t>
      </w:r>
      <w:r>
        <w:t xml:space="preserve"> </w:t>
      </w:r>
      <m:oMath>
        <m:r>
          <m:t>h</m:t>
        </m:r>
        <m:d>
          <m:dPr>
            <m:begChr m:val="("/>
            <m:endChr m:val=")"/>
            <m:sepChr m:val=""/>
            <m:grow/>
          </m:dPr>
          <m:e>
            <m:r>
              <m:t>x</m:t>
            </m:r>
          </m:e>
        </m:d>
        <m:r>
          <m:rPr>
            <m:sty m:val="p"/>
          </m:rPr>
          <m:t>=</m:t>
        </m:r>
        <m:r>
          <m:t>f</m:t>
        </m:r>
        <m:d>
          <m:dPr>
            <m:begChr m:val="("/>
            <m:endChr m:val=")"/>
            <m:sepChr m:val=""/>
            <m:grow/>
          </m:dPr>
          <m:e>
            <m:r>
              <m:t>x</m:t>
            </m:r>
          </m:e>
        </m:d>
        <m:r>
          <m:rPr>
            <m:sty m:val="p"/>
          </m:rPr>
          <m:t>−</m:t>
        </m:r>
        <m:r>
          <m:t>g</m:t>
        </m:r>
        <m:d>
          <m:dPr>
            <m:begChr m:val="("/>
            <m:endChr m:val=")"/>
            <m:sepChr m:val=""/>
            <m:grow/>
          </m:dPr>
          <m:e>
            <m:r>
              <m:t>x</m:t>
            </m:r>
          </m:e>
        </m:d>
      </m:oMath>
      <w:r>
        <w:t xml:space="preserve">.</w:t>
      </w:r>
    </w:p>
    <w:p>
      <w:pPr>
        <w:numPr>
          <w:ilvl w:val="0"/>
          <w:numId w:val="1000"/>
        </w:numPr>
        <w:pStyle w:val="Compact"/>
      </w:pPr>
      <w:r>
        <w:drawing>
          <wp:inline>
            <wp:extent cx="2552115" cy="2510040"/>
            <wp:effectExtent b="0" l="0" r="0" t="0"/>
            <wp:docPr descr="Graph of functions f and g." title="" id="34" name="Picture"/>
            <a:graphic>
              <a:graphicData uri="http://schemas.openxmlformats.org/drawingml/2006/picture">
                <pic:pic>
                  <pic:nvPicPr>
                    <pic:cNvPr descr="/app/tmp/embedder-1671002124.9373806.png" id="35" name="Picture"/>
                    <pic:cNvPicPr>
                      <a:picLocks noChangeArrowheads="1" noChangeAspect="1"/>
                    </pic:cNvPicPr>
                  </pic:nvPicPr>
                  <pic:blipFill>
                    <a:blip r:embed="rId33"/>
                    <a:stretch>
                      <a:fillRect/>
                    </a:stretch>
                  </pic:blipFill>
                  <pic:spPr bwMode="auto">
                    <a:xfrm>
                      <a:off x="0" y="0"/>
                      <a:ext cx="2552115" cy="2510040"/>
                    </a:xfrm>
                    <a:prstGeom prst="rect">
                      <a:avLst/>
                    </a:prstGeom>
                    <a:noFill/>
                    <a:ln w="9525">
                      <a:noFill/>
                      <a:headEnd/>
                      <a:tailEnd/>
                    </a:ln>
                  </pic:spPr>
                </pic:pic>
              </a:graphicData>
            </a:graphic>
          </wp:inline>
        </w:drawing>
      </w:r>
    </w:p>
    <w:p>
      <w:pPr>
        <w:numPr>
          <w:ilvl w:val="1"/>
          <w:numId w:val="1002"/>
        </w:numPr>
        <w:pStyle w:val="Compact"/>
      </w:pPr>
      <w:r>
        <w:t xml:space="preserve">For which values of</w:t>
      </w:r>
      <w:r>
        <w:t xml:space="preserve"> </w:t>
      </w:r>
      <m:oMath>
        <m:r>
          <m:t>x</m:t>
        </m:r>
      </m:oMath>
      <w:r>
        <w:t xml:space="preserve"> </w:t>
      </w:r>
      <w:r>
        <w:t xml:space="preserve">is</w:t>
      </w:r>
      <w:r>
        <w:t xml:space="preserve"> </w:t>
      </w:r>
      <m:oMath>
        <m:r>
          <m:t>h</m:t>
        </m:r>
        <m:d>
          <m:dPr>
            <m:begChr m:val="("/>
            <m:endChr m:val=")"/>
            <m:sepChr m:val=""/>
            <m:grow/>
          </m:dPr>
          <m:e>
            <m:r>
              <m:t>x</m:t>
            </m:r>
          </m:e>
        </m:d>
        <m:r>
          <m:rPr>
            <m:sty m:val="p"/>
          </m:rPr>
          <m:t>=</m:t>
        </m:r>
        <m:r>
          <m:t>0</m:t>
        </m:r>
      </m:oMath>
      <w:r>
        <w:t xml:space="preserve">? Explain how you know.</w:t>
      </w:r>
    </w:p>
    <w:p>
      <w:pPr>
        <w:numPr>
          <w:ilvl w:val="1"/>
          <w:numId w:val="1002"/>
        </w:numPr>
        <w:pStyle w:val="Compact"/>
      </w:pPr>
      <w:r>
        <w:t xml:space="preserve">For which values of</w:t>
      </w:r>
      <w:r>
        <w:t xml:space="preserve"> </w:t>
      </w:r>
      <m:oMath>
        <m:r>
          <m:t>x</m:t>
        </m:r>
      </m:oMath>
      <w:r>
        <w:t xml:space="preserve"> </w:t>
      </w:r>
      <w:r>
        <w:t xml:space="preserve">is</w:t>
      </w:r>
      <w:r>
        <w:t xml:space="preserve"> </w:t>
      </w:r>
      <m:oMath>
        <m:r>
          <m:t>h</m:t>
        </m:r>
        <m:d>
          <m:dPr>
            <m:begChr m:val="("/>
            <m:endChr m:val=")"/>
            <m:sepChr m:val=""/>
            <m:grow/>
          </m:dPr>
          <m:e>
            <m:r>
              <m:t>x</m:t>
            </m:r>
          </m:e>
        </m:d>
        <m:r>
          <m:rPr>
            <m:sty m:val="p"/>
          </m:rPr>
          <m:t>&lt;</m:t>
        </m:r>
        <m:r>
          <m:t>0</m:t>
        </m:r>
      </m:oMath>
      <w:r>
        <w:t xml:space="preserve">? For which values of</w:t>
      </w:r>
      <w:r>
        <w:t xml:space="preserve"> </w:t>
      </w:r>
      <m:oMath>
        <m:r>
          <m:t>x</m:t>
        </m:r>
      </m:oMath>
      <w:r>
        <w:t xml:space="preserve"> </w:t>
      </w:r>
      <w:r>
        <w:t xml:space="preserve">is</w:t>
      </w:r>
      <w:r>
        <w:t xml:space="preserve"> </w:t>
      </w:r>
      <m:oMath>
        <m:r>
          <m:t>h</m:t>
        </m:r>
        <m:d>
          <m:dPr>
            <m:begChr m:val="("/>
            <m:endChr m:val=")"/>
            <m:sepChr m:val=""/>
            <m:grow/>
          </m:dPr>
          <m:e>
            <m:r>
              <m:t>x</m:t>
            </m:r>
          </m:e>
        </m:d>
        <m:r>
          <m:rPr>
            <m:sty m:val="p"/>
          </m:rPr>
          <m:t>&gt;</m:t>
        </m:r>
        <m:r>
          <m:t>0</m:t>
        </m:r>
      </m:oMath>
      <w:r>
        <w:t xml:space="preserve">?</w:t>
      </w:r>
    </w:p>
    <w:p>
      <w:pPr>
        <w:numPr>
          <w:ilvl w:val="1"/>
          <w:numId w:val="1002"/>
        </w:numPr>
        <w:pStyle w:val="Compact"/>
      </w:pPr>
      <w:r>
        <w:t xml:space="preserve">Sketch a graph of</w:t>
      </w:r>
      <w:r>
        <w:t xml:space="preserve"> </w:t>
      </w:r>
      <m:oMath>
        <m:r>
          <m:t>h</m:t>
        </m:r>
      </m:oMath>
      <w:r>
        <w:t xml:space="preserve">.</w:t>
      </w:r>
    </w:p>
    <w:p>
      <w:pPr>
        <w:numPr>
          <w:ilvl w:val="0"/>
          <w:numId w:val="1001"/>
        </w:numPr>
      </w:pPr>
      <w:r>
        <w:t xml:space="preserve">The graph of each of these quadratic equations is a parabola. Explain how to find the vertex of each parabola by applying transformations to the graph of</w:t>
      </w:r>
      <w:r>
        <w:t xml:space="preserve"> </w:t>
      </w:r>
      <m:oMath>
        <m:r>
          <m:t>y</m:t>
        </m:r>
        <m:r>
          <m:rPr>
            <m:sty m:val="p"/>
          </m:rPr>
          <m:t>=</m:t>
        </m:r>
        <m:sSup>
          <m:e>
            <m:r>
              <m:t>x</m:t>
            </m:r>
          </m:e>
          <m:sup>
            <m:r>
              <m:t>2</m:t>
            </m:r>
          </m:sup>
        </m:sSup>
      </m:oMath>
      <w:r>
        <w:t xml:space="preserve">.</w:t>
      </w:r>
    </w:p>
    <w:p>
      <w:pPr>
        <w:numPr>
          <w:ilvl w:val="1"/>
          <w:numId w:val="1003"/>
        </w:numPr>
        <w:pStyle w:val="Compact"/>
      </w:pPr>
      <m:oMath>
        <m:r>
          <m:t>y</m:t>
        </m:r>
        <m:r>
          <m:rPr>
            <m:sty m:val="p"/>
          </m:rPr>
          <m:t>=</m:t>
        </m:r>
        <m:sSup>
          <m:e>
            <m:d>
              <m:dPr>
                <m:begChr m:val="("/>
                <m:endChr m:val=")"/>
                <m:sepChr m:val=""/>
                <m:grow/>
              </m:dPr>
              <m:e>
                <m:r>
                  <m:t>x</m:t>
                </m:r>
                <m:r>
                  <m:rPr>
                    <m:sty m:val="p"/>
                  </m:rPr>
                  <m:t>−</m:t>
                </m:r>
                <m:r>
                  <m:t>1</m:t>
                </m:r>
              </m:e>
            </m:d>
          </m:e>
          <m:sup>
            <m:r>
              <m:t>2</m:t>
            </m:r>
          </m:sup>
        </m:sSup>
      </m:oMath>
    </w:p>
    <w:p>
      <w:pPr>
        <w:numPr>
          <w:ilvl w:val="1"/>
          <w:numId w:val="1003"/>
        </w:numPr>
        <w:pStyle w:val="Compact"/>
      </w:pPr>
      <m:oMath>
        <m:r>
          <m:t>y</m:t>
        </m:r>
        <m:r>
          <m:rPr>
            <m:sty m:val="p"/>
          </m:rPr>
          <m:t>=</m:t>
        </m:r>
        <m:sSup>
          <m:e>
            <m:d>
              <m:dPr>
                <m:begChr m:val="("/>
                <m:endChr m:val=")"/>
                <m:sepChr m:val=""/>
                <m:grow/>
              </m:dPr>
              <m:e>
                <m:r>
                  <m:t>x</m:t>
                </m:r>
                <m:r>
                  <m:rPr>
                    <m:sty m:val="p"/>
                  </m:rPr>
                  <m:t>−</m:t>
                </m:r>
                <m:r>
                  <m:t>1</m:t>
                </m:r>
              </m:e>
            </m:d>
          </m:e>
          <m:sup>
            <m:r>
              <m:t>2</m:t>
            </m:r>
          </m:sup>
        </m:sSup>
        <m:r>
          <m:rPr>
            <m:sty m:val="p"/>
          </m:rPr>
          <m:t>+</m:t>
        </m:r>
        <m:r>
          <m:t>5</m:t>
        </m:r>
      </m:oMath>
    </w:p>
    <w:p>
      <w:pPr>
        <w:numPr>
          <w:ilvl w:val="1"/>
          <w:numId w:val="1003"/>
        </w:numPr>
        <w:pStyle w:val="Compact"/>
      </w:pPr>
      <m:oMath>
        <m:r>
          <m:t>y</m:t>
        </m:r>
        <m:r>
          <m:rPr>
            <m:sty m:val="p"/>
          </m:rPr>
          <m:t>=</m:t>
        </m:r>
        <m:r>
          <m:rPr>
            <m:nor/>
            <m:sty m:val="p"/>
          </m:rPr>
          <m:t>-</m:t>
        </m:r>
        <m:sSup>
          <m:e>
            <m:d>
              <m:dPr>
                <m:begChr m:val="("/>
                <m:endChr m:val=")"/>
                <m:sepChr m:val=""/>
                <m:grow/>
              </m:dPr>
              <m:e>
                <m:r>
                  <m:t>x</m:t>
                </m:r>
                <m:r>
                  <m:rPr>
                    <m:sty m:val="p"/>
                  </m:rPr>
                  <m:t>−</m:t>
                </m:r>
                <m:r>
                  <m:t>1</m:t>
                </m:r>
              </m:e>
            </m:d>
          </m:e>
          <m:sup>
            <m:r>
              <m:t>2</m:t>
            </m:r>
          </m:sup>
        </m:sSup>
        <m:r>
          <m:rPr>
            <m:sty m:val="p"/>
          </m:rPr>
          <m:t>+</m:t>
        </m:r>
        <m:r>
          <m:t>5</m:t>
        </m:r>
      </m:oMath>
    </w:p>
    <w:p>
      <w:pPr>
        <w:numPr>
          <w:ilvl w:val="0"/>
          <w:numId w:val="1000"/>
        </w:numPr>
      </w:pPr>
      <w:r>
        <w:t xml:space="preserve">(From Unit 5, Lesson 7.)</w:t>
      </w:r>
    </w:p>
    <w:p>
      <w:pPr>
        <w:numPr>
          <w:ilvl w:val="0"/>
          <w:numId w:val="1001"/>
        </w:numPr>
      </w:pPr>
      <w:r>
        <w:t xml:space="preserve">The table shows the approximate United States population and the amount of sugar consumed in the given years.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0"/>
                <w:numId w:val="1000"/>
              </w:numPr>
              <w:pStyle w:val="Compact"/>
              <w:jc w:val="left"/>
            </w:pPr>
            <w:r>
              <w:t xml:space="preserve">year</w:t>
            </w:r>
          </w:p>
        </w:tc>
        <w:tc>
          <w:tcPr/>
          <w:p>
            <w:pPr>
              <w:numPr>
                <w:ilvl w:val="0"/>
                <w:numId w:val="1000"/>
              </w:numPr>
              <w:pStyle w:val="Compact"/>
              <w:jc w:val="left"/>
            </w:pPr>
            <w:r>
              <w:t xml:space="preserve">1800</w:t>
            </w:r>
          </w:p>
        </w:tc>
        <w:tc>
          <w:tcPr/>
          <w:p>
            <w:pPr>
              <w:numPr>
                <w:ilvl w:val="0"/>
                <w:numId w:val="1000"/>
              </w:numPr>
              <w:pStyle w:val="Compact"/>
              <w:jc w:val="left"/>
            </w:pPr>
            <w:r>
              <w:t xml:space="preserve">1850</w:t>
            </w:r>
          </w:p>
        </w:tc>
        <w:tc>
          <w:tcPr/>
          <w:p>
            <w:pPr>
              <w:numPr>
                <w:ilvl w:val="0"/>
                <w:numId w:val="1000"/>
              </w:numPr>
              <w:pStyle w:val="Compact"/>
              <w:jc w:val="left"/>
            </w:pPr>
            <w:r>
              <w:t xml:space="preserve">1900</w:t>
            </w:r>
          </w:p>
        </w:tc>
        <w:tc>
          <w:tcPr/>
          <w:p>
            <w:pPr>
              <w:numPr>
                <w:ilvl w:val="0"/>
                <w:numId w:val="1000"/>
              </w:numPr>
              <w:pStyle w:val="Compact"/>
              <w:jc w:val="left"/>
            </w:pPr>
            <w:r>
              <w:t xml:space="preserve">1950</w:t>
            </w:r>
          </w:p>
        </w:tc>
        <w:tc>
          <w:tcPr/>
          <w:p>
            <w:pPr>
              <w:numPr>
                <w:ilvl w:val="0"/>
                <w:numId w:val="1000"/>
              </w:numPr>
              <w:pStyle w:val="Compact"/>
              <w:jc w:val="left"/>
            </w:pPr>
            <w:r>
              <w:t xml:space="preserve">2000</w:t>
            </w:r>
          </w:p>
        </w:tc>
      </w:tr>
      <w:tr>
        <w:tc>
          <w:tcPr/>
          <w:p>
            <w:pPr>
              <w:numPr>
                <w:ilvl w:val="0"/>
                <w:numId w:val="1000"/>
              </w:numPr>
              <w:pStyle w:val="Compact"/>
              <w:jc w:val="left"/>
            </w:pPr>
            <w:r>
              <w:t xml:space="preserve">population (millions)</w:t>
            </w:r>
          </w:p>
        </w:tc>
        <w:tc>
          <w:tcPr/>
          <w:p>
            <w:pPr>
              <w:numPr>
                <w:ilvl w:val="0"/>
                <w:numId w:val="1000"/>
              </w:numPr>
              <w:pStyle w:val="Compact"/>
              <w:jc w:val="left"/>
            </w:pPr>
            <w:r>
              <w:t xml:space="preserve">5</w:t>
            </w:r>
          </w:p>
        </w:tc>
        <w:tc>
          <w:tcPr/>
          <w:p>
            <w:pPr>
              <w:numPr>
                <w:ilvl w:val="0"/>
                <w:numId w:val="1000"/>
              </w:numPr>
              <w:pStyle w:val="Compact"/>
              <w:jc w:val="left"/>
            </w:pPr>
            <w:r>
              <w:t xml:space="preserve">23</w:t>
            </w:r>
          </w:p>
        </w:tc>
        <w:tc>
          <w:tcPr/>
          <w:p>
            <w:pPr>
              <w:numPr>
                <w:ilvl w:val="0"/>
                <w:numId w:val="1000"/>
              </w:numPr>
              <w:pStyle w:val="Compact"/>
              <w:jc w:val="left"/>
            </w:pPr>
            <w:r>
              <w:t xml:space="preserve">76</w:t>
            </w:r>
          </w:p>
        </w:tc>
        <w:tc>
          <w:tcPr/>
          <w:p>
            <w:pPr>
              <w:numPr>
                <w:ilvl w:val="0"/>
                <w:numId w:val="1000"/>
              </w:numPr>
              <w:pStyle w:val="Compact"/>
              <w:jc w:val="left"/>
            </w:pPr>
            <w:r>
              <w:t xml:space="preserve">161</w:t>
            </w:r>
          </w:p>
        </w:tc>
        <w:tc>
          <w:tcPr/>
          <w:p>
            <w:pPr>
              <w:numPr>
                <w:ilvl w:val="0"/>
                <w:numId w:val="1000"/>
              </w:numPr>
              <w:pStyle w:val="Compact"/>
              <w:jc w:val="left"/>
            </w:pPr>
            <w:r>
              <w:t xml:space="preserve">291</w:t>
            </w:r>
          </w:p>
        </w:tc>
      </w:tr>
      <w:tr>
        <w:tc>
          <w:tcPr/>
          <w:p>
            <w:pPr>
              <w:numPr>
                <w:ilvl w:val="0"/>
                <w:numId w:val="1000"/>
              </w:numPr>
              <w:pStyle w:val="Compact"/>
              <w:jc w:val="left"/>
            </w:pPr>
            <w:r>
              <w:t xml:space="preserve">pounds of sugar consumed (millions)</w:t>
            </w:r>
          </w:p>
        </w:tc>
        <w:tc>
          <w:tcPr/>
          <w:p>
            <w:pPr>
              <w:numPr>
                <w:ilvl w:val="0"/>
                <w:numId w:val="1000"/>
              </w:numPr>
              <w:pStyle w:val="Compact"/>
              <w:jc w:val="left"/>
            </w:pPr>
            <w:r>
              <w:t xml:space="preserve">30</w:t>
            </w:r>
          </w:p>
        </w:tc>
        <w:tc>
          <w:tcPr/>
          <w:p>
            <w:pPr>
              <w:numPr>
                <w:ilvl w:val="0"/>
                <w:numId w:val="1000"/>
              </w:numPr>
              <w:pStyle w:val="Compact"/>
              <w:jc w:val="left"/>
            </w:pPr>
            <w:r>
              <w:t xml:space="preserve">460</w:t>
            </w:r>
          </w:p>
        </w:tc>
        <w:tc>
          <w:tcPr/>
          <w:p>
            <w:pPr>
              <w:numPr>
                <w:ilvl w:val="0"/>
                <w:numId w:val="1000"/>
              </w:numPr>
              <w:pStyle w:val="Compact"/>
              <w:jc w:val="left"/>
            </w:pPr>
            <w:r>
              <w:t xml:space="preserve">3,000</w:t>
            </w:r>
          </w:p>
        </w:tc>
        <w:tc>
          <w:tcPr/>
          <w:p>
            <w:pPr>
              <w:numPr>
                <w:ilvl w:val="0"/>
                <w:numId w:val="1000"/>
              </w:numPr>
              <w:pStyle w:val="Compact"/>
              <w:jc w:val="left"/>
            </w:pPr>
            <w:r>
              <w:t xml:space="preserve">12,000</w:t>
            </w:r>
          </w:p>
        </w:tc>
        <w:tc>
          <w:tcPr/>
          <w:p>
            <w:pPr>
              <w:numPr>
                <w:ilvl w:val="0"/>
                <w:numId w:val="1000"/>
              </w:numPr>
              <w:pStyle w:val="Compact"/>
              <w:jc w:val="left"/>
            </w:pPr>
            <w:r>
              <w:t xml:space="preserve">32,000</w:t>
            </w:r>
          </w:p>
        </w:tc>
      </w:tr>
    </w:tbl>
    <w:p>
      <w:pPr>
        <w:numPr>
          <w:ilvl w:val="1"/>
          <w:numId w:val="1004"/>
        </w:numPr>
        <w:pStyle w:val="Compact"/>
      </w:pPr>
      <w:r>
        <w:t xml:space="preserve">About how many pounds of sugar per year were consumed by each person in the 1800? 1850? 1900? 1950? 2000?</w:t>
      </w:r>
    </w:p>
    <w:p>
      <w:pPr>
        <w:numPr>
          <w:ilvl w:val="1"/>
          <w:numId w:val="1004"/>
        </w:numPr>
      </w:pPr>
      <w:r>
        <w:t xml:space="preserve">Plot the numbers on the graph.</w:t>
      </w:r>
    </w:p>
    <w:p>
      <w:pPr>
        <w:numPr>
          <w:ilvl w:val="0"/>
          <w:numId w:val="1000"/>
        </w:numPr>
        <w:pStyle w:val="Compact"/>
      </w:pPr>
      <w:r>
        <w:drawing>
          <wp:inline>
            <wp:extent cx="2991065" cy="2873438"/>
            <wp:effectExtent b="0" l="0" r="0" t="0"/>
            <wp:docPr descr="Blank coordinate plane, origin O. Horizontal axis from 0 to 200 by 50’s, labeled years after 1800. Vertical axis from 0 to 120 by 20’s, labeled pounds of sugar per person." title="" id="37" name="Picture"/>
            <a:graphic>
              <a:graphicData uri="http://schemas.openxmlformats.org/drawingml/2006/picture">
                <pic:pic>
                  <pic:nvPicPr>
                    <pic:cNvPr descr="/app/tmp/embedder-1671002125.0122828.png" id="38" name="Picture"/>
                    <pic:cNvPicPr>
                      <a:picLocks noChangeArrowheads="1" noChangeAspect="1"/>
                    </pic:cNvPicPr>
                  </pic:nvPicPr>
                  <pic:blipFill>
                    <a:blip r:embed="rId36"/>
                    <a:stretch>
                      <a:fillRect/>
                    </a:stretch>
                  </pic:blipFill>
                  <pic:spPr bwMode="auto">
                    <a:xfrm>
                      <a:off x="0" y="0"/>
                      <a:ext cx="2991065" cy="2873438"/>
                    </a:xfrm>
                    <a:prstGeom prst="rect">
                      <a:avLst/>
                    </a:prstGeom>
                    <a:noFill/>
                    <a:ln w="9525">
                      <a:noFill/>
                      <a:headEnd/>
                      <a:tailEnd/>
                    </a:ln>
                  </pic:spPr>
                </pic:pic>
              </a:graphicData>
            </a:graphic>
          </wp:inline>
        </w:drawing>
      </w:r>
    </w:p>
    <w:p>
      <w:pPr>
        <w:numPr>
          <w:ilvl w:val="0"/>
          <w:numId w:val="1001"/>
        </w:numPr>
      </w:pPr>
      <w:r>
        <w:t xml:space="preserve">Here is a graph of a function</w:t>
      </w:r>
      <w:r>
        <w:t xml:space="preserve"> </w:t>
      </w:r>
      <m:oMath>
        <m:r>
          <m:t>f</m:t>
        </m:r>
      </m:oMath>
      <w:r>
        <w:t xml:space="preserve">.</w:t>
      </w:r>
    </w:p>
    <w:p>
      <w:pPr>
        <w:numPr>
          <w:ilvl w:val="1"/>
          <w:numId w:val="1005"/>
        </w:numPr>
        <w:pStyle w:val="Compact"/>
      </w:pPr>
      <w:r>
        <w:t xml:space="preserve">Use the graph to explain why this function is neither odd nor even.</w:t>
      </w:r>
    </w:p>
    <w:p>
      <w:pPr>
        <w:numPr>
          <w:ilvl w:val="1"/>
          <w:numId w:val="1005"/>
        </w:numPr>
        <w:pStyle w:val="Compact"/>
      </w:pPr>
      <w:r>
        <w:t xml:space="preserve">An equation defining</w:t>
      </w:r>
      <w:r>
        <w:t xml:space="preserve"> </w:t>
      </w:r>
      <m:oMath>
        <m:r>
          <m:t>f</m:t>
        </m:r>
      </m:oMath>
      <w:r>
        <w:t xml:space="preserve"> </w:t>
      </w:r>
      <w:r>
        <w:t xml:space="preserve">is</w:t>
      </w:r>
      <w:r>
        <w:t xml:space="preserve"> </w:t>
      </w:r>
      <m:oMath>
        <m:r>
          <m:t>f</m:t>
        </m:r>
        <m:d>
          <m:dPr>
            <m:begChr m:val="("/>
            <m:endChr m:val=")"/>
            <m:sepChr m:val=""/>
            <m:grow/>
          </m:dPr>
          <m:e>
            <m:r>
              <m:t>x</m:t>
            </m:r>
          </m:e>
        </m:d>
        <m:r>
          <m:rPr>
            <m:sty m:val="p"/>
          </m:rPr>
          <m:t>=</m:t>
        </m:r>
        <m:sSup>
          <m:e>
            <m:r>
              <m:t>x</m:t>
            </m:r>
          </m:e>
          <m:sup>
            <m:r>
              <m:t>2</m:t>
            </m:r>
          </m:sup>
        </m:sSup>
        <m:r>
          <m:rPr>
            <m:sty m:val="p"/>
          </m:rPr>
          <m:t>−</m:t>
        </m:r>
        <m:r>
          <m:t>2</m:t>
        </m:r>
        <m:r>
          <m:t>x</m:t>
        </m:r>
      </m:oMath>
      <w:r>
        <w:t xml:space="preserve">. Use the equation to verify that</w:t>
      </w:r>
      <w:r>
        <w:t xml:space="preserve"> </w:t>
      </w:r>
      <m:oMath>
        <m:r>
          <m:t>f</m:t>
        </m:r>
      </m:oMath>
      <w:r>
        <w:t xml:space="preserve"> </w:t>
      </w:r>
      <w:r>
        <w:t xml:space="preserve">is neither odd nor even.</w:t>
      </w:r>
    </w:p>
    <w:p>
      <w:pPr>
        <w:numPr>
          <w:ilvl w:val="0"/>
          <w:numId w:val="1000"/>
        </w:numPr>
        <w:pStyle w:val="Compact"/>
      </w:pPr>
      <w:r>
        <w:drawing>
          <wp:inline>
            <wp:extent cx="2552230" cy="2281466"/>
            <wp:effectExtent b="0" l="0" r="0" t="0"/>
            <wp:docPr descr="Function on coordinate plane." title="" id="40" name="Picture"/>
            <a:graphic>
              <a:graphicData uri="http://schemas.openxmlformats.org/drawingml/2006/picture">
                <pic:pic>
                  <pic:nvPicPr>
                    <pic:cNvPr descr="/app/tmp/embedder-1671002125.1333277.png" id="41" name="Picture"/>
                    <pic:cNvPicPr>
                      <a:picLocks noChangeArrowheads="1" noChangeAspect="1"/>
                    </pic:cNvPicPr>
                  </pic:nvPicPr>
                  <pic:blipFill>
                    <a:blip r:embed="rId39"/>
                    <a:stretch>
                      <a:fillRect/>
                    </a:stretch>
                  </pic:blipFill>
                  <pic:spPr bwMode="auto">
                    <a:xfrm>
                      <a:off x="0" y="0"/>
                      <a:ext cx="2552230" cy="2281466"/>
                    </a:xfrm>
                    <a:prstGeom prst="rect">
                      <a:avLst/>
                    </a:prstGeom>
                    <a:noFill/>
                    <a:ln w="9525">
                      <a:noFill/>
                      <a:headEnd/>
                      <a:tailEnd/>
                    </a:ln>
                  </pic:spPr>
                </pic:pic>
              </a:graphicData>
            </a:graphic>
          </wp:inline>
        </w:drawing>
      </w:r>
    </w:p>
    <w:p>
      <w:pPr>
        <w:numPr>
          <w:ilvl w:val="0"/>
          <w:numId w:val="1000"/>
        </w:numPr>
      </w:pPr>
      <w:r>
        <w:t xml:space="preserve">(From Unit 5, Lesson 6.)</w:t>
      </w:r>
    </w:p>
    <w:p>
      <w:pPr>
        <w:numPr>
          <w:ilvl w:val="0"/>
          <w:numId w:val="1001"/>
        </w:numPr>
      </w:pPr>
      <w:r>
        <w:t xml:space="preserve">In the table, we have the function</w:t>
      </w:r>
      <w:r>
        <w:t xml:space="preserve"> </w:t>
      </w:r>
      <m:oMath>
        <m:r>
          <m:t>f</m:t>
        </m:r>
      </m:oMath>
      <w:r>
        <w:t xml:space="preserve"> </w:t>
      </w:r>
      <w:r>
        <w:t xml:space="preserve">which gives Clare’s height</w:t>
      </w:r>
      <w:r>
        <w:t xml:space="preserve"> </w:t>
      </w:r>
      <m:oMath>
        <m:r>
          <m:t>f</m:t>
        </m:r>
        <m:d>
          <m:dPr>
            <m:begChr m:val="("/>
            <m:endChr m:val=")"/>
            <m:sepChr m:val=""/>
            <m:grow/>
          </m:dPr>
          <m:e>
            <m:r>
              <m:t>t</m:t>
            </m:r>
          </m:e>
        </m:d>
      </m:oMath>
      <w:r>
        <w:t xml:space="preserve"> </w:t>
      </w:r>
      <w:r>
        <w:t xml:space="preserve">above the ground, in feet,</w:t>
      </w:r>
      <w:r>
        <w:t xml:space="preserve"> </w:t>
      </w:r>
      <m:oMath>
        <m:r>
          <m:t>t</m:t>
        </m:r>
      </m:oMath>
      <w:r>
        <w:t xml:space="preserve"> </w:t>
      </w:r>
      <w:r>
        <w:t xml:space="preserve">seconds after starting her descent from the top of the original Ferris wheel. Today Clare tried out two new Ferris wheels. The first one, whose height is given by the function</w:t>
      </w:r>
      <w:r>
        <w:t xml:space="preserve"> </w:t>
      </w:r>
      <m:oMath>
        <m:r>
          <m:t>p</m:t>
        </m:r>
      </m:oMath>
      <w:r>
        <w:t xml:space="preserve">, is half the height of the original and turns at the same speed. The second one, whose height is given by the function</w:t>
      </w:r>
      <w:r>
        <w:t xml:space="preserve"> </w:t>
      </w:r>
      <m:oMath>
        <m:r>
          <m:t>r</m:t>
        </m:r>
      </m:oMath>
      <w:r>
        <w:t xml:space="preserve">, is the same height has the original but turns at twice the speed. </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m:oMath>
              <m:r>
                <m:t>t</m:t>
              </m:r>
            </m:oMath>
          </w:p>
        </w:tc>
        <w:tc>
          <w:tcPr/>
          <w:p>
            <w:pPr>
              <w:numPr>
                <w:ilvl w:val="0"/>
                <w:numId w:val="1000"/>
              </w:numPr>
              <w:pStyle w:val="Compact"/>
              <w:jc w:val="left"/>
            </w:pPr>
            <m:oMath>
              <m:r>
                <m:t>f</m:t>
              </m:r>
              <m:d>
                <m:dPr>
                  <m:begChr m:val="("/>
                  <m:endChr m:val=")"/>
                  <m:sepChr m:val=""/>
                  <m:grow/>
                </m:dPr>
                <m:e>
                  <m:r>
                    <m:t>t</m:t>
                  </m:r>
                </m:e>
              </m:d>
            </m:oMath>
          </w:p>
        </w:tc>
        <w:tc>
          <w:tcPr/>
          <w:p>
            <w:pPr>
              <w:numPr>
                <w:ilvl w:val="0"/>
                <w:numId w:val="1000"/>
              </w:numPr>
              <w:pStyle w:val="Compact"/>
              <w:jc w:val="left"/>
            </w:pPr>
            <m:oMath>
              <m:r>
                <m:t>p</m:t>
              </m:r>
              <m:d>
                <m:dPr>
                  <m:begChr m:val="("/>
                  <m:endChr m:val=")"/>
                  <m:sepChr m:val=""/>
                  <m:grow/>
                </m:dPr>
                <m:e>
                  <m:r>
                    <m:t>t</m:t>
                  </m:r>
                </m:e>
              </m:d>
            </m:oMath>
            <w:r>
              <w:t xml:space="preserve"> (half the height,</w:t>
            </w:r>
            <w:r>
              <w:br/>
            </w:r>
            <w:r>
              <w:t xml:space="preserve">same speed)</w:t>
            </w:r>
          </w:p>
        </w:tc>
        <w:tc>
          <w:tcPr/>
          <w:p>
            <w:pPr>
              <w:numPr>
                <w:ilvl w:val="0"/>
                <w:numId w:val="1000"/>
              </w:numPr>
              <w:pStyle w:val="Compact"/>
              <w:jc w:val="left"/>
            </w:pPr>
            <m:oMath>
              <m:r>
                <m:t>r</m:t>
              </m:r>
              <m:d>
                <m:dPr>
                  <m:begChr m:val="("/>
                  <m:endChr m:val=")"/>
                  <m:sepChr m:val=""/>
                  <m:grow/>
                </m:dPr>
                <m:e>
                  <m:r>
                    <m:t>t</m:t>
                  </m:r>
                </m:e>
              </m:d>
            </m:oMath>
            <w:r>
              <w:t xml:space="preserve"> (same height,</w:t>
            </w:r>
            <w:r>
              <w:br/>
            </w:r>
            <w:r>
              <w:t xml:space="preserve">twice the speed)</w:t>
            </w:r>
          </w:p>
        </w:tc>
      </w:tr>
      <w:tr>
        <w:tc>
          <w:tcPr/>
          <w:p>
            <w:pPr>
              <w:numPr>
                <w:ilvl w:val="0"/>
                <w:numId w:val="1000"/>
              </w:numPr>
              <w:pStyle w:val="Compact"/>
              <w:jc w:val="left"/>
            </w:pPr>
            <w:r>
              <w:t xml:space="preserve">0</w:t>
            </w:r>
          </w:p>
        </w:tc>
        <w:tc>
          <w:tcPr/>
          <w:p>
            <w:pPr>
              <w:numPr>
                <w:ilvl w:val="0"/>
                <w:numId w:val="1000"/>
              </w:numPr>
              <w:pStyle w:val="Compact"/>
              <w:jc w:val="left"/>
            </w:pPr>
            <w:r>
              <w:t xml:space="preserve">212</w:t>
            </w:r>
          </w:p>
        </w:tc>
        <w:tc>
          <w:tcPr/>
          <w:p>
            <w:pPr>
              <w:pStyle w:val="Compact"/>
            </w:pPr>
          </w:p>
        </w:tc>
        <w:tc>
          <w:tcPr/>
          <w:p>
            <w:pPr>
              <w:pStyle w:val="Compact"/>
            </w:pPr>
          </w:p>
        </w:tc>
      </w:tr>
      <w:tr>
        <w:tc>
          <w:tcPr/>
          <w:p>
            <w:pPr>
              <w:numPr>
                <w:ilvl w:val="0"/>
                <w:numId w:val="1000"/>
              </w:numPr>
              <w:pStyle w:val="Compact"/>
              <w:jc w:val="left"/>
            </w:pPr>
            <w:r>
              <w:t xml:space="preserve">5</w:t>
            </w:r>
          </w:p>
        </w:tc>
        <w:tc>
          <w:tcPr/>
          <w:p>
            <w:pPr>
              <w:numPr>
                <w:ilvl w:val="0"/>
                <w:numId w:val="1000"/>
              </w:numPr>
              <w:pStyle w:val="Compact"/>
              <w:jc w:val="left"/>
            </w:pPr>
            <w:r>
              <w:t xml:space="preserve">181</w:t>
            </w:r>
          </w:p>
        </w:tc>
        <w:tc>
          <w:tcPr/>
          <w:p>
            <w:pPr>
              <w:pStyle w:val="Compact"/>
            </w:pPr>
          </w:p>
        </w:tc>
        <w:tc>
          <w:tcPr/>
          <w:p>
            <w:pPr>
              <w:pStyle w:val="Compact"/>
            </w:pPr>
          </w:p>
        </w:tc>
      </w:tr>
      <w:tr>
        <w:tc>
          <w:tcPr/>
          <w:p>
            <w:pPr>
              <w:numPr>
                <w:ilvl w:val="0"/>
                <w:numId w:val="1000"/>
              </w:numPr>
              <w:pStyle w:val="Compact"/>
              <w:jc w:val="left"/>
            </w:pPr>
            <w:r>
              <w:t xml:space="preserve">10</w:t>
            </w:r>
          </w:p>
        </w:tc>
        <w:tc>
          <w:tcPr/>
          <w:p>
            <w:pPr>
              <w:numPr>
                <w:ilvl w:val="0"/>
                <w:numId w:val="1000"/>
              </w:numPr>
              <w:pStyle w:val="Compact"/>
              <w:jc w:val="left"/>
            </w:pPr>
            <w:r>
              <w:t xml:space="preserve">106</w:t>
            </w:r>
          </w:p>
        </w:tc>
        <w:tc>
          <w:tcPr/>
          <w:p>
            <w:pPr>
              <w:pStyle w:val="Compact"/>
            </w:pPr>
          </w:p>
        </w:tc>
        <w:tc>
          <w:tcPr/>
          <w:p>
            <w:pPr>
              <w:pStyle w:val="Compact"/>
            </w:pPr>
          </w:p>
        </w:tc>
      </w:tr>
      <w:tr>
        <w:tc>
          <w:tcPr/>
          <w:p>
            <w:pPr>
              <w:numPr>
                <w:ilvl w:val="0"/>
                <w:numId w:val="1000"/>
              </w:numPr>
              <w:pStyle w:val="Compact"/>
              <w:jc w:val="left"/>
            </w:pPr>
            <w:r>
              <w:t xml:space="preserve">15</w:t>
            </w:r>
          </w:p>
        </w:tc>
        <w:tc>
          <w:tcPr/>
          <w:p>
            <w:pPr>
              <w:numPr>
                <w:ilvl w:val="0"/>
                <w:numId w:val="1000"/>
              </w:numPr>
              <w:pStyle w:val="Compact"/>
              <w:jc w:val="left"/>
            </w:pPr>
            <w:r>
              <w:t xml:space="preserve">31</w:t>
            </w:r>
          </w:p>
        </w:tc>
        <w:tc>
          <w:tcPr/>
          <w:p>
            <w:pPr>
              <w:pStyle w:val="Compact"/>
            </w:pPr>
          </w:p>
        </w:tc>
        <w:tc>
          <w:tcPr/>
          <w:p>
            <w:pPr>
              <w:pStyle w:val="Compact"/>
            </w:pPr>
          </w:p>
        </w:tc>
      </w:tr>
      <w:tr>
        <w:tc>
          <w:tcPr/>
          <w:p>
            <w:pPr>
              <w:numPr>
                <w:ilvl w:val="0"/>
                <w:numId w:val="1000"/>
              </w:numPr>
              <w:pStyle w:val="Compact"/>
              <w:jc w:val="left"/>
            </w:pPr>
            <w:r>
              <w:t xml:space="preserve">20</w:t>
            </w:r>
          </w:p>
        </w:tc>
        <w:tc>
          <w:tcPr/>
          <w:p>
            <w:pPr>
              <w:numPr>
                <w:ilvl w:val="0"/>
                <w:numId w:val="1000"/>
              </w:numPr>
              <w:pStyle w:val="Compact"/>
              <w:jc w:val="left"/>
            </w:pPr>
            <w:r>
              <w:t xml:space="preserve">0</w:t>
            </w:r>
          </w:p>
        </w:tc>
        <w:tc>
          <w:tcPr/>
          <w:p>
            <w:pPr>
              <w:pStyle w:val="Compact"/>
            </w:pPr>
          </w:p>
        </w:tc>
        <w:tc>
          <w:tcPr/>
          <w:p>
            <w:pPr>
              <w:pStyle w:val="Compact"/>
            </w:pPr>
          </w:p>
        </w:tc>
      </w:tr>
    </w:tbl>
    <w:p>
      <w:pPr>
        <w:numPr>
          <w:ilvl w:val="1"/>
          <w:numId w:val="1006"/>
        </w:numPr>
        <w:pStyle w:val="Compact"/>
      </w:pPr>
      <w:r>
        <w:t xml:space="preserve">Fill in the table for functions</w:t>
      </w:r>
      <w:r>
        <w:t xml:space="preserve"> </w:t>
      </w:r>
      <m:oMath>
        <m:r>
          <m:t>p</m:t>
        </m:r>
      </m:oMath>
      <w:r>
        <w:t xml:space="preserve"> </w:t>
      </w:r>
      <w:r>
        <w:t xml:space="preserve">and</w:t>
      </w:r>
      <w:r>
        <w:t xml:space="preserve"> </w:t>
      </w:r>
      <m:oMath>
        <m:r>
          <m:t>r</m:t>
        </m:r>
      </m:oMath>
      <w:r>
        <w:t xml:space="preserve">.</w:t>
      </w:r>
    </w:p>
    <w:p>
      <w:pPr>
        <w:numPr>
          <w:ilvl w:val="1"/>
          <w:numId w:val="1006"/>
        </w:numPr>
        <w:pStyle w:val="Compact"/>
      </w:pPr>
      <w:r>
        <w:t xml:space="preserve">Explain why there is not enough information to determine</w:t>
      </w:r>
      <w:r>
        <w:t xml:space="preserve"> </w:t>
      </w:r>
      <m:oMath>
        <m:r>
          <m:t>r</m:t>
        </m:r>
        <m:d>
          <m:dPr>
            <m:begChr m:val="("/>
            <m:endChr m:val=")"/>
            <m:sepChr m:val=""/>
            <m:grow/>
          </m:dPr>
          <m:e>
            <m:r>
              <m:t>15</m:t>
            </m:r>
          </m:e>
        </m:d>
      </m:oMath>
      <w:r>
        <w:t xml:space="preserve"> </w:t>
      </w:r>
      <w:r>
        <w:t xml:space="preserve">and</w:t>
      </w:r>
      <w:r>
        <w:t xml:space="preserve"> </w:t>
      </w:r>
      <m:oMath>
        <m:r>
          <m:t>r</m:t>
        </m:r>
        <m:d>
          <m:dPr>
            <m:begChr m:val="("/>
            <m:endChr m:val=")"/>
            <m:sepChr m:val=""/>
            <m:grow/>
          </m:dPr>
          <m:e>
            <m:r>
              <m:t>20</m:t>
            </m:r>
          </m:e>
        </m:d>
      </m:oMath>
      <w:r>
        <w:t xml:space="preserve">.</w:t>
      </w:r>
    </w:p>
    <w:p>
      <w:pPr>
        <w:numPr>
          <w:ilvl w:val="1"/>
          <w:numId w:val="1006"/>
        </w:numPr>
        <w:pStyle w:val="Compact"/>
      </w:pPr>
      <w:r>
        <w:t xml:space="preserve">Express</w:t>
      </w:r>
      <w:r>
        <w:t xml:space="preserve"> </w:t>
      </w:r>
      <m:oMath>
        <m:r>
          <m:t>p</m:t>
        </m:r>
      </m:oMath>
      <w:r>
        <w:t xml:space="preserve"> </w:t>
      </w:r>
      <w:r>
        <w:t xml:space="preserve">and</w:t>
      </w:r>
      <w:r>
        <w:t xml:space="preserve"> </w:t>
      </w:r>
      <m:oMath>
        <m:r>
          <m:t>r</m:t>
        </m:r>
      </m:oMath>
      <w:r>
        <w:t xml:space="preserve"> </w:t>
      </w:r>
      <w:r>
        <w:t xml:space="preserve">in terms of</w:t>
      </w:r>
      <w:r>
        <w:t xml:space="preserve"> </w:t>
      </w:r>
      <m:oMath>
        <m:r>
          <m:t>f</m:t>
        </m:r>
      </m:oMath>
      <w:r>
        <w:t xml:space="preserve">.</w:t>
      </w:r>
    </w:p>
    <w:p>
      <w:pPr>
        <w:numPr>
          <w:ilvl w:val="0"/>
          <w:numId w:val="1000"/>
        </w:numPr>
      </w:pPr>
      <w:r>
        <w:t xml:space="preserve">(From Unit 5, Lesson 9.)</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2022-12-14T07:15:25Z</dcterms:created>
  <dcterms:modified xsi:type="dcterms:W3CDTF">2022-12-14T07:15:25Z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ZWRHcwCrUg+Dp141skvgSGzgRrctvVxCUf3+L+StgXdBYAIqbCOqUkZD/SvjL8wgVQg/MTk3AVnUdxtfkKKCKg==</vt:lpwstr>
  </property>
</Properties>
</file>