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estimate-products"/>
    <w:p>
      <w:pPr>
        <w:pStyle w:val="Heading2"/>
      </w:pPr>
      <w:r>
        <w:t xml:space="preserve">Lesson 16: Estimate Products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estimate products of a whole number and a fraction.</w:t>
      </w:r>
    </w:p>
    <w:bookmarkStart w:id="24" w:name="warm-up-notice-and-wonder-garden-size"/>
    <w:p>
      <w:pPr>
        <w:pStyle w:val="Heading3"/>
      </w:pPr>
      <w:r>
        <w:t xml:space="preserve">Warm-up: Notice and Wonder: Garden Size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779957" cy="2578057"/>
            <wp:effectExtent b="0" l="0" r="0" t="0"/>
            <wp:docPr descr="image of garden, has 3 sections, bushes and poles next to garden." title="" id="22" name="Picture"/>
            <a:graphic>
              <a:graphicData uri="http://schemas.openxmlformats.org/drawingml/2006/picture">
                <pic:pic>
                  <pic:nvPicPr>
                    <pic:cNvPr descr="/app/tmp/embedder-1671027400.11142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957" cy="2578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priyas-garden"/>
    <w:p>
      <w:pPr>
        <w:pStyle w:val="Heading3"/>
      </w:pPr>
      <w:r>
        <w:t xml:space="preserve">16.1: Priya’s Garden</w:t>
      </w:r>
    </w:p>
    <w:p>
      <w:pPr>
        <w:pStyle w:val="FirstParagraph"/>
      </w:pPr>
      <w:r>
        <w:drawing>
          <wp:inline>
            <wp:extent cx="4779957" cy="2578057"/>
            <wp:effectExtent b="0" l="0" r="0" t="0"/>
            <wp:docPr descr="a garden" title="" id="26" name="Picture"/>
            <a:graphic>
              <a:graphicData uri="http://schemas.openxmlformats.org/drawingml/2006/picture">
                <pic:pic>
                  <pic:nvPicPr>
                    <pic:cNvPr descr="/app/tmp/embedder-1671027400.172960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957" cy="2578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Priya has enough materials to build a garden that is 36 square feet.</w:t>
      </w:r>
    </w:p>
    <w:p>
      <w:pPr>
        <w:pStyle w:val="BodyText"/>
      </w:pPr>
      <w:r>
        <w:t xml:space="preserve">Choose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side lengths that are reasonable for her garden. Be prepared to explain your thinking to your partner.</w:t>
      </w:r>
    </w:p>
    <w:p>
      <w:pPr>
        <w:numPr>
          <w:ilvl w:val="0"/>
          <w:numId w:val="1002"/>
        </w:numPr>
        <w:pStyle w:val="Compact"/>
      </w:pPr>
      <w:r>
        <w:t xml:space="preserve">9 feet by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</w:t>
      </w:r>
    </w:p>
    <w:p>
      <w:pPr>
        <w:numPr>
          <w:ilvl w:val="0"/>
          <w:numId w:val="1002"/>
        </w:numPr>
        <w:pStyle w:val="Compact"/>
      </w:pPr>
      <w:r>
        <w:t xml:space="preserve">9 feet by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feet</w:t>
      </w:r>
    </w:p>
    <w:p>
      <w:pPr>
        <w:numPr>
          <w:ilvl w:val="0"/>
          <w:numId w:val="1002"/>
        </w:numPr>
        <w:pStyle w:val="Compact"/>
      </w:pPr>
      <w:r>
        <w:t xml:space="preserve">12 feet by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feet</w:t>
      </w:r>
    </w:p>
    <w:p>
      <w:pPr>
        <w:numPr>
          <w:ilvl w:val="0"/>
          <w:numId w:val="1002"/>
        </w:numPr>
        <w:pStyle w:val="Compact"/>
      </w:pPr>
      <w:r>
        <w:t xml:space="preserve">9 feet by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</w:t>
      </w:r>
    </w:p>
    <w:bookmarkEnd w:id="28"/>
    <w:bookmarkStart w:id="29" w:name="too-high-too-low-just-about-right"/>
    <w:p>
      <w:pPr>
        <w:pStyle w:val="Heading3"/>
      </w:pPr>
      <w:r>
        <w:t xml:space="preserve">16.2: Too High, Too Low, Just About Right</w:t>
      </w:r>
    </w:p>
    <w:p>
      <w:pPr>
        <w:numPr>
          <w:ilvl w:val="0"/>
          <w:numId w:val="1003"/>
        </w:numPr>
        <w:pStyle w:val="Compact"/>
      </w:pPr>
      <w:r>
        <w:t xml:space="preserve">Write a whole number product that is slightly less than, slightly greater than, or about equal to the value of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12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slightly less:</w:t>
      </w:r>
    </w:p>
    <w:p>
      <w:pPr>
        <w:numPr>
          <w:ilvl w:val="1"/>
          <w:numId w:val="1004"/>
        </w:numPr>
        <w:pStyle w:val="Compact"/>
      </w:pPr>
      <w:r>
        <w:t xml:space="preserve">slightly greater:</w:t>
      </w:r>
    </w:p>
    <w:p>
      <w:pPr>
        <w:numPr>
          <w:ilvl w:val="1"/>
          <w:numId w:val="1004"/>
        </w:numPr>
        <w:pStyle w:val="Compact"/>
      </w:pPr>
      <w:r>
        <w:t xml:space="preserve">just right:</w:t>
      </w:r>
    </w:p>
    <w:p>
      <w:pPr>
        <w:numPr>
          <w:ilvl w:val="0"/>
          <w:numId w:val="1003"/>
        </w:numPr>
        <w:pStyle w:val="Compact"/>
      </w:pPr>
      <w:r>
        <w:t xml:space="preserve">Write a whole number product that is slightly less than, slightly greater than, or about equal to the value of</w:t>
      </w:r>
      <w:r>
        <w:t xml:space="preserve"> </w:t>
      </w:r>
      <m:oMath>
        <m:r>
          <m:t>9</m:t>
        </m:r>
        <m:r>
          <m:rPr>
            <m:sty m:val="p"/>
          </m:rPr>
          <m:t>×</m:t>
        </m:r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29</m:t>
            </m:r>
          </m:den>
        </m:f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slightly less:</w:t>
      </w:r>
    </w:p>
    <w:p>
      <w:pPr>
        <w:numPr>
          <w:ilvl w:val="1"/>
          <w:numId w:val="1005"/>
        </w:numPr>
        <w:pStyle w:val="Compact"/>
      </w:pPr>
      <w:r>
        <w:t xml:space="preserve">slightly greater:</w:t>
      </w:r>
    </w:p>
    <w:p>
      <w:pPr>
        <w:numPr>
          <w:ilvl w:val="1"/>
          <w:numId w:val="1005"/>
        </w:numPr>
        <w:pStyle w:val="Compact"/>
      </w:pPr>
      <w:r>
        <w:t xml:space="preserve">just right:</w:t>
      </w:r>
    </w:p>
    <w:p>
      <w:pPr>
        <w:numPr>
          <w:ilvl w:val="0"/>
          <w:numId w:val="1003"/>
        </w:numPr>
        <w:pStyle w:val="Compact"/>
      </w:pPr>
      <w:r>
        <w:t xml:space="preserve">Without calculating, use the numbers 2, 3, 5, 6, and 7, to complete the expression with a value close to 20.</w:t>
      </w:r>
      <w:r>
        <w:br/>
      </w:r>
      <w:r>
        <w:t xml:space="preserve">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num>
                      <m:den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num>
                      <m:den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Explain how you know your expression represents a value close to 20.</w:t>
      </w:r>
    </w:p>
    <w:bookmarkEnd w:id="29"/>
    <w:bookmarkStart w:id="39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how to find the area of a rectangle with a fractional side length. The shaded region has an area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because there are 4 groups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square unit shaded. The area is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because there are 8 shaded parts and each one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square unit.</w:t>
      </w:r>
    </w:p>
    <w:p>
      <w:pPr>
        <w:pStyle w:val="BodyText"/>
      </w:pPr>
      <w:r>
        <w:drawing>
          <wp:inline>
            <wp:extent cx="4114800" cy="1097277"/>
            <wp:effectExtent b="0" l="0" r="0" t="0"/>
            <wp:docPr descr="Area diagram. Length, 4. Width, 2 thirds." title="" id="31" name="Picture"/>
            <a:graphic>
              <a:graphicData uri="http://schemas.openxmlformats.org/drawingml/2006/picture">
                <pic:pic>
                  <pic:nvPicPr>
                    <pic:cNvPr descr="/app/tmp/embedder-1671027400.24953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also learned to multiply a mixed number by a whole number. We used area diagrams and expressions to see why our strategies work. For example, to solve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2</m:t>
        </m:r>
      </m:oMath>
      <w:r>
        <w:t xml:space="preserve">, we can use the expression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×</m:t>
            </m:r>
            <m:r>
              <m:t>2</m:t>
            </m:r>
          </m:e>
        </m:d>
      </m:oMath>
      <w:r>
        <w:t xml:space="preserve">. We can see both of these expressions in the diagram.</w:t>
      </w:r>
    </w:p>
    <w:p>
      <w:pPr>
        <w:pStyle w:val="BodyText"/>
      </w:pPr>
      <w:r>
        <w:drawing>
          <wp:inline>
            <wp:extent cx="4457700" cy="2286000"/>
            <wp:effectExtent b="0" l="0" r="0" t="0"/>
            <wp:docPr descr="Area Diagram. Length, 3 and 3 fourths. Width, 2. " title="" id="34" name="Picture"/>
            <a:graphic>
              <a:graphicData uri="http://schemas.openxmlformats.org/drawingml/2006/picture">
                <pic:pic>
                  <pic:nvPicPr>
                    <pic:cNvPr descr="/app/tmp/embedder-1671027400.334277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2022-12-14T14:16:41Z</dcterms:created>
  <dcterms:modified xsi:type="dcterms:W3CDTF">2022-12-14T14:16:41Z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9sVrfZhNmin+vr0jE7ANfyvV19lFCAcMsLgrM5pAPCjSwS4k9MVidDtaHj1C1CEXEj2uX1GCWhc1Ms5D7k8/dQ==</vt:lpwstr>
  </property>
</Properties>
</file>