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8-grupos-de-hasta-110"/>
    <w:p>
      <w:pPr>
        <w:pStyle w:val="Heading2"/>
      </w:pPr>
      <w:r>
        <w:t xml:space="preserve">Lección 8: Grupos de hasta 110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Midamos longitudes que son más largas que 100 cubos.</w:t>
      </w:r>
    </w:p>
    <w:bookmarkStart w:id="21" w:name="longitudes-largas-con-cubos-pequeños"/>
    <w:p>
      <w:pPr>
        <w:pStyle w:val="Heading3"/>
      </w:pPr>
      <w:r>
        <w:t xml:space="preserve">8.1: Longitudes largas con cubos pequeños</w:t>
      </w:r>
    </w:p>
    <w:p>
      <w:pPr>
        <w:pStyle w:val="FirstParagraph"/>
      </w:pPr>
      <w:r>
        <w:t xml:space="preserve">Representa tu medida. Usa dibujos, números o palabras.</w:t>
      </w:r>
    </w:p>
    <w:bookmarkEnd w:id="21"/>
    <w:bookmarkStart w:id="28" w:name="representaciones-de-números-grandes"/>
    <w:p>
      <w:pPr>
        <w:pStyle w:val="Heading3"/>
      </w:pPr>
      <w:r>
        <w:t xml:space="preserve">8.2: Representaciones de números grandes</w:t>
      </w:r>
    </w:p>
    <w:p>
      <w:pPr>
        <w:pStyle w:val="FirstParagraph"/>
      </w:pPr>
      <w:r>
        <w:drawing>
          <wp:inline>
            <wp:extent cx="5943600" cy="2011692"/>
            <wp:effectExtent b="0" l="0" r="0" t="0"/>
            <wp:docPr descr="Base ten diagram. 10 tens. 4 ones." title="" id="23" name="Picture"/>
            <a:graphic>
              <a:graphicData uri="http://schemas.openxmlformats.org/drawingml/2006/picture">
                <pic:pic>
                  <pic:nvPicPr>
                    <pic:cNvPr descr="/app/tmp/embedder-1671059382.785623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2022-12-14T23:09:43Z</dcterms:created>
  <dcterms:modified xsi:type="dcterms:W3CDTF">2022-12-14T23:09:43Z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PdfvAQXY7B+dIPohiDZpcrd3wuiCVfm7zV8j5nQQT6EZ06pYaVAUQljEWT/ZUkUajp+7bpbfpKBI1caWAB9M/A==</vt:lpwstr>
  </property>
</Properties>
</file>