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49.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3" w:name="lesson-1-patterns-that-grow"/>
    <w:p>
      <w:pPr>
        <w:pStyle w:val="Heading1"/>
      </w:pPr>
      <w:r>
        <w:t xml:space="preserve">Lesson 1: Patterns that Grow</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4.OA.C.5</w:t>
            </w:r>
          </w:p>
        </w:tc>
      </w:tr>
      <w:tr>
        <w:tc>
          <w:tcPr/>
          <w:p>
            <w:pPr>
              <w:pStyle w:val="Compact"/>
              <w:jc w:val="left"/>
            </w:pPr>
            <w:r>
              <w:t xml:space="preserve">Building Towards</w:t>
            </w:r>
          </w:p>
        </w:tc>
        <w:tc>
          <w:tcPr/>
          <w:p>
            <w:pPr>
              <w:pStyle w:val="Compact"/>
              <w:jc w:val="left"/>
            </w:pPr>
            <w:r>
              <w:t xml:space="preserve">4.OA.C.5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Analyze and describe number and shape patterns.</w:t>
      </w:r>
    </w:p>
    <w:bookmarkEnd w:id="24"/>
    <w:bookmarkStart w:id="25" w:name="student-facing-learning-goals"/>
    <w:p>
      <w:pPr>
        <w:pStyle w:val="Heading3"/>
      </w:pPr>
      <w:r>
        <w:t xml:space="preserve">Student-facing Learning Goals</w:t>
      </w:r>
    </w:p>
    <w:p>
      <w:pPr>
        <w:numPr>
          <w:ilvl w:val="0"/>
          <w:numId w:val="1002"/>
        </w:numPr>
        <w:pStyle w:val="Compact"/>
      </w:pPr>
      <w:r>
        <w:t xml:space="preserve">Let's describe patterns and think about what might come next.</w:t>
      </w:r>
    </w:p>
    <w:bookmarkEnd w:id="25"/>
    <w:bookmarkStart w:id="26" w:name="lesson-purpose"/>
    <w:p>
      <w:pPr>
        <w:pStyle w:val="Heading3"/>
      </w:pPr>
      <w:r>
        <w:t xml:space="preserve">Lesson Purpose</w:t>
      </w:r>
    </w:p>
    <w:p>
      <w:pPr>
        <w:pStyle w:val="FirstParagraph"/>
      </w:pPr>
      <w:r>
        <w:t xml:space="preserve">The purpose of this lesson is for students to analyze, describe, and extend visual patterns in which one or more shapes grow by a rule.</w:t>
      </w:r>
    </w:p>
    <w:p>
      <w:pPr>
        <w:pStyle w:val="BodyText"/>
      </w:pPr>
      <w:r>
        <w:t xml:space="preserve">In grade 3, students identified patterns in numbers and used mathematical operations to explain them. In this lesson and the next few, students continue the work of analyzing and describing shape and number patterns, looking for features of patterns that are not apparent in the rule.</w:t>
      </w:r>
    </w:p>
    <w:p>
      <w:pPr>
        <w:pStyle w:val="BodyText"/>
      </w:pPr>
      <w:r>
        <w:t xml:space="preserve">The patterns in this lesson consist of shapes that use an increasing number of objects in each step. Students describe not only the rule of the pattern (that is, how the number of objects is changing), but also any features of the patterns that are not explicit in the rule. They also extend patterns and make predictions by looking for and making use of structure (MP7), rather than by drawing or writing out each step along the way.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1)</w:t>
      </w:r>
    </w:p>
    <w:bookmarkEnd w:id="35"/>
    <w:bookmarkStart w:id="36" w:name="instructional-routines"/>
    <w:p>
      <w:pPr>
        <w:pStyle w:val="Heading3"/>
      </w:pPr>
      <w:r>
        <w:t xml:space="preserve">Instructional Routines</w:t>
      </w:r>
    </w:p>
    <w:p>
      <w:pPr>
        <w:pStyle w:val="FirstParagraph"/>
      </w:pPr>
      <w:r>
        <w:t xml:space="preserve">5 Practices (Activity 2), MLR7 Compare and Connect (Activity 2), Notice and Wonder (Warm-up)</w:t>
      </w:r>
    </w:p>
    <w:bookmarkEnd w:id="36"/>
    <w:bookmarkStart w:id="37" w:name="materials-to-gather"/>
    <w:p>
      <w:pPr>
        <w:pStyle w:val="Heading3"/>
      </w:pPr>
      <w:r>
        <w:t xml:space="preserve">Materials to Gather</w:t>
      </w:r>
    </w:p>
    <w:p>
      <w:pPr>
        <w:numPr>
          <w:ilvl w:val="0"/>
          <w:numId w:val="1005"/>
        </w:numPr>
        <w:pStyle w:val="Compact"/>
      </w:pPr>
      <w:r>
        <w:t xml:space="preserve">Pattern blocks: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Reflect on whose thinking was heard today. Reflect on whose thinking was not heard but could have enriched the conversations. What prompts or structures might better enable the latter to share their voices and reasoning?</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Andre's House Pattern</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4.OA.C.5</w:t>
            </w:r>
          </w:p>
        </w:tc>
      </w:tr>
    </w:tbl>
    <w:bookmarkEnd w:id="44"/>
    <w:bookmarkStart w:id="48" w:name="student-facing-task-statement"/>
    <w:p>
      <w:pPr>
        <w:pStyle w:val="Heading3"/>
      </w:pPr>
      <w:r>
        <w:t xml:space="preserve">Student-facing Task Statement</w:t>
      </w:r>
    </w:p>
    <w:p>
      <w:pPr>
        <w:pStyle w:val="FirstParagraph"/>
      </w:pPr>
      <w:r>
        <w:t xml:space="preserve">Andre used pattern blocks to make houses in a pattern. For each new step, he adds a new “floor” made of squares. The triangles are used for the roof of the house.</w:t>
      </w:r>
    </w:p>
    <w:p>
      <w:pPr>
        <w:pStyle w:val="BodyText"/>
      </w:pPr>
      <w:r>
        <w:drawing>
          <wp:inline>
            <wp:extent cx="2228850" cy="1032121"/>
            <wp:effectExtent b="0" l="0" r="0" t="0"/>
            <wp:docPr descr="pattern of pattern blocks arranged to look like houses. First house, 3 triangles, 2 squares. Second house, 3 triangles, 4 squares." title="" id="46" name="Picture"/>
            <a:graphic>
              <a:graphicData uri="http://schemas.openxmlformats.org/drawingml/2006/picture">
                <pic:pic>
                  <pic:nvPicPr>
                    <pic:cNvPr descr="/app/tmp/embedder-1671024355.8587298.png" id="47" name="Picture"/>
                    <pic:cNvPicPr>
                      <a:picLocks noChangeArrowheads="1" noChangeAspect="1"/>
                    </pic:cNvPicPr>
                  </pic:nvPicPr>
                  <pic:blipFill>
                    <a:blip r:embed="rId45"/>
                    <a:stretch>
                      <a:fillRect/>
                    </a:stretch>
                  </pic:blipFill>
                  <pic:spPr bwMode="auto">
                    <a:xfrm>
                      <a:off x="0" y="0"/>
                      <a:ext cx="2228850" cy="1032121"/>
                    </a:xfrm>
                    <a:prstGeom prst="rect">
                      <a:avLst/>
                    </a:prstGeom>
                    <a:noFill/>
                    <a:ln w="9525">
                      <a:noFill/>
                      <a:headEnd/>
                      <a:tailEnd/>
                    </a:ln>
                  </pic:spPr>
                </pic:pic>
              </a:graphicData>
            </a:graphic>
          </wp:inline>
        </w:drawing>
      </w:r>
    </w:p>
    <w:p>
      <w:pPr>
        <w:numPr>
          <w:ilvl w:val="0"/>
          <w:numId w:val="1006"/>
        </w:numPr>
        <w:pStyle w:val="Compact"/>
      </w:pPr>
      <w:r>
        <w:t xml:space="preserve">Draw the next step in Andre’s pattern.</w:t>
      </w:r>
    </w:p>
    <w:p>
      <w:pPr>
        <w:numPr>
          <w:ilvl w:val="0"/>
          <w:numId w:val="1006"/>
        </w:numPr>
      </w:pPr>
      <w:r>
        <w:t xml:space="preserve">If Andre continues the pattern:</w:t>
      </w:r>
    </w:p>
    <w:p>
      <w:pPr>
        <w:numPr>
          <w:ilvl w:val="1"/>
          <w:numId w:val="1007"/>
        </w:numPr>
        <w:pStyle w:val="Compact"/>
      </w:pPr>
      <w:r>
        <w:t xml:space="preserve">How many triangles will Andre use in the 15th house? Explain or show your reasoning.</w:t>
      </w:r>
    </w:p>
    <w:p>
      <w:pPr>
        <w:numPr>
          <w:ilvl w:val="1"/>
          <w:numId w:val="1007"/>
        </w:numPr>
        <w:pStyle w:val="Compact"/>
      </w:pPr>
      <w:r>
        <w:t xml:space="preserve">How many squares will Andre use in the 15th house? Explain or show your reasoning.</w:t>
      </w:r>
    </w:p>
    <w:bookmarkEnd w:id="48"/>
    <w:bookmarkStart w:id="52" w:name="student-responses"/>
    <w:p>
      <w:pPr>
        <w:pStyle w:val="Heading3"/>
      </w:pPr>
      <w:r>
        <w:t xml:space="preserve">Student Responses</w:t>
      </w:r>
    </w:p>
    <w:p>
      <w:pPr>
        <w:numPr>
          <w:ilvl w:val="0"/>
          <w:numId w:val="1008"/>
        </w:numPr>
        <w:pStyle w:val="Compact"/>
      </w:pPr>
      <w:r>
        <w:t xml:space="preserve">See drawing.</w:t>
      </w:r>
    </w:p>
    <w:p>
      <w:pPr>
        <w:numPr>
          <w:ilvl w:val="0"/>
          <w:numId w:val="1008"/>
        </w:numPr>
        <w:pStyle w:val="Compact"/>
      </w:pPr>
    </w:p>
    <w:p>
      <w:pPr>
        <w:numPr>
          <w:ilvl w:val="1"/>
          <w:numId w:val="1009"/>
        </w:numPr>
        <w:pStyle w:val="Compact"/>
      </w:pPr>
      <w:r>
        <w:t xml:space="preserve">Andre will use 3 triangles. Sample response: I know because the number of triangles is not changing.</w:t>
      </w:r>
    </w:p>
    <w:p>
      <w:pPr>
        <w:numPr>
          <w:ilvl w:val="1"/>
          <w:numId w:val="1009"/>
        </w:numPr>
        <w:pStyle w:val="Compact"/>
      </w:pPr>
      <w:r>
        <w:t xml:space="preserve">Andre will use 30 squares. Sample response: He adds a row of 2 squares each time. The 15th house will have 15 rows or</w:t>
      </w:r>
      <w:r>
        <w:t xml:space="preserve"> </w:t>
      </w:r>
      <m:oMath>
        <m:r>
          <m:t>15</m:t>
        </m:r>
        <m:r>
          <m:rPr>
            <m:sty m:val="p"/>
          </m:rPr>
          <m:t>×</m:t>
        </m:r>
        <m:r>
          <m:t>2</m:t>
        </m:r>
      </m:oMath>
      <w:r>
        <w:t xml:space="preserve"> </w:t>
      </w:r>
      <w:r>
        <w:t xml:space="preserve">squares.</w:t>
      </w:r>
    </w:p>
    <w:p>
      <w:pPr>
        <w:pStyle w:val="FirstParagraph"/>
      </w:pPr>
      <w:r>
        <w:drawing>
          <wp:inline>
            <wp:extent cx="1440180" cy="1371600"/>
            <wp:effectExtent b="0" l="0" r="0" t="0"/>
            <wp:docPr descr="pattern blocks" title="" id="50" name="Picture"/>
            <a:graphic>
              <a:graphicData uri="http://schemas.openxmlformats.org/drawingml/2006/picture">
                <pic:pic>
                  <pic:nvPicPr>
                    <pic:cNvPr descr="/app/tmp/embedder-1671024355.996965.png" id="51" name="Picture"/>
                    <pic:cNvPicPr>
                      <a:picLocks noChangeArrowheads="1" noChangeAspect="1"/>
                    </pic:cNvPicPr>
                  </pic:nvPicPr>
                  <pic:blipFill>
                    <a:blip r:embed="rId49"/>
                    <a:stretch>
                      <a:fillRect/>
                    </a:stretch>
                  </pic:blipFill>
                  <pic:spPr bwMode="auto">
                    <a:xfrm>
                      <a:off x="0" y="0"/>
                      <a:ext cx="1440180" cy="1371600"/>
                    </a:xfrm>
                    <a:prstGeom prst="rect">
                      <a:avLst/>
                    </a:prstGeom>
                    <a:noFill/>
                    <a:ln w="9525">
                      <a:noFill/>
                      <a:headEnd/>
                      <a:tailEnd/>
                    </a:ln>
                  </pic:spPr>
                </pic:pic>
              </a:graphicData>
            </a:graphic>
          </wp:inline>
        </w:drawing>
      </w:r>
    </w:p>
    <w:bookmarkEnd w:id="52"/>
    <w:bookmarkEnd w:id="5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49" Target="media/rId49.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2022-12-14T13:25:56Z</dcterms:created>
  <dcterms:modified xsi:type="dcterms:W3CDTF">2022-12-14T13:25:56Z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+QgAXG55DdnFaaG7jsePJdXXqcBKxX17TWZPb64MGLzdDEUFAvH1hACNAqXfo6NN7D/QRl5PIGDI7Kof2gMb4Q==</vt:lpwstr>
  </property>
</Properties>
</file>