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lesson-2-match-representations-of-tens"/>
    <w:p>
      <w:pPr>
        <w:pStyle w:val="Heading1"/>
      </w:pPr>
      <w:r>
        <w:t xml:space="preserve">Lesson 2: Match Representations of Tens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1.NBT.A.1, 1.NBT.B.2, 1.NBT.B.2.c</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Interpet different base-ten representations of multiples of 10.</w:t>
      </w:r>
    </w:p>
    <w:bookmarkEnd w:id="24"/>
    <w:bookmarkStart w:id="25" w:name="student-facing-learning-goals"/>
    <w:p>
      <w:pPr>
        <w:pStyle w:val="Heading3"/>
      </w:pPr>
      <w:r>
        <w:t xml:space="preserve">Student-facing Learning Goals</w:t>
      </w:r>
    </w:p>
    <w:p>
      <w:pPr>
        <w:numPr>
          <w:ilvl w:val="0"/>
          <w:numId w:val="1002"/>
        </w:numPr>
        <w:pStyle w:val="Compact"/>
      </w:pPr>
      <w:r>
        <w:t xml:space="preserve">Let’s match different representations of numbers.</w:t>
      </w:r>
    </w:p>
    <w:bookmarkEnd w:id="25"/>
    <w:bookmarkStart w:id="26" w:name="lesson-purpose"/>
    <w:p>
      <w:pPr>
        <w:pStyle w:val="Heading3"/>
      </w:pPr>
      <w:r>
        <w:t xml:space="preserve">Lesson Purpose</w:t>
      </w:r>
    </w:p>
    <w:p>
      <w:pPr>
        <w:pStyle w:val="FirstParagraph"/>
      </w:pPr>
      <w:r>
        <w:t xml:space="preserve">The purpose of this lesson is for students to interpret different base-ten representations of multiples of 10.</w:t>
      </w:r>
    </w:p>
    <w:p>
      <w:pPr>
        <w:pStyle w:val="BodyText"/>
      </w:pPr>
      <w:r>
        <w:t xml:space="preserve">Students make connections between different representations of multiples of 10. In the first activity, students work together to find the three representations (a number, ___ tens, and drawings of towers of 10) that show the same value and prove how they know the values are equivalent. In the second activity, students use what they have learned to match numbers to towers of 10. Throughout the lesson, when students explain how they know different representations match based on the their understanding of tens, the count sequence, or connections they make to the digits in the numerical representations, they look for and make use of structure and express regularity in repeated reasoning (MP7, MP8).</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2</w:t>
      </w:r>
    </w:p>
    <w:bookmarkEnd w:id="37"/>
    <w:bookmarkStart w:id="38" w:name="materials-to-copy"/>
    <w:p>
      <w:pPr>
        <w:pStyle w:val="Heading3"/>
      </w:pPr>
      <w:r>
        <w:t xml:space="preserve">Materials to Copy</w:t>
      </w:r>
    </w:p>
    <w:p>
      <w:pPr>
        <w:numPr>
          <w:ilvl w:val="0"/>
          <w:numId w:val="1006"/>
        </w:numPr>
        <w:pStyle w:val="Compact"/>
      </w:pPr>
      <w:r>
        <w:t xml:space="preserve">Representations of Tens (groups of 27): Activity 1</w:t>
      </w:r>
    </w:p>
    <w:p>
      <w:pPr>
        <w:numPr>
          <w:ilvl w:val="0"/>
          <w:numId w:val="1006"/>
        </w:numPr>
        <w:pStyle w:val="Compact"/>
      </w:pPr>
      <w:r>
        <w:t xml:space="preserve">It's a Match (10-90) words, numbers, pictures (groups of 1):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Reflect on how readily students work with the unit ten, rather than ten ones. Are students counting the connecting cubes in each tower to confirm there are ten? How can you provide opportunities for students to develop an understanding of the unit ten at their own pace?</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How Many Are There?</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1.NBT.A.1, 1.NBT.B.2.c</w:t>
            </w:r>
          </w:p>
        </w:tc>
      </w:tr>
    </w:tbl>
    <w:bookmarkEnd w:id="45"/>
    <w:bookmarkStart w:id="49" w:name="student-facing-task-statement"/>
    <w:p>
      <w:pPr>
        <w:pStyle w:val="Heading3"/>
      </w:pPr>
      <w:r>
        <w:t xml:space="preserve">Student-facing Task Statement</w:t>
      </w:r>
    </w:p>
    <w:p>
      <w:pPr>
        <w:pStyle w:val="FirstParagraph"/>
      </w:pPr>
      <w:r>
        <w:t xml:space="preserve">How many cubes are there?</w:t>
      </w:r>
      <w:r>
        <w:br/>
      </w:r>
      <w:r>
        <w:t xml:space="preserve">Show your thinking using drawings, numbers, or words.</w:t>
      </w:r>
    </w:p>
    <w:p>
      <w:pPr>
        <w:pStyle w:val="BodyText"/>
      </w:pPr>
      <w:r>
        <w:drawing>
          <wp:inline>
            <wp:extent cx="2971800" cy="3383279"/>
            <wp:effectExtent b="0" l="0" r="0" t="0"/>
            <wp:docPr descr="Connecting cubes. 6 towers of 10 cubes." title="" id="47" name="Picture"/>
            <a:graphic>
              <a:graphicData uri="http://schemas.openxmlformats.org/drawingml/2006/picture">
                <pic:pic>
                  <pic:nvPicPr>
                    <pic:cNvPr descr="/app/tmp/embedder-1671016490.1161597.png" id="48" name="Picture"/>
                    <pic:cNvPicPr>
                      <a:picLocks noChangeArrowheads="1" noChangeAspect="1"/>
                    </pic:cNvPicPr>
                  </pic:nvPicPr>
                  <pic:blipFill>
                    <a:blip r:embed="rId46"/>
                    <a:stretch>
                      <a:fillRect/>
                    </a:stretch>
                  </pic:blipFill>
                  <pic:spPr bwMode="auto">
                    <a:xfrm>
                      <a:off x="0" y="0"/>
                      <a:ext cx="2971800" cy="3383279"/>
                    </a:xfrm>
                    <a:prstGeom prst="rect">
                      <a:avLst/>
                    </a:prstGeom>
                    <a:noFill/>
                    <a:ln w="9525">
                      <a:noFill/>
                      <a:headEnd/>
                      <a:tailEnd/>
                    </a:ln>
                  </pic:spPr>
                </pic:pic>
              </a:graphicData>
            </a:graphic>
          </wp:inline>
        </w:drawing>
      </w:r>
    </w:p>
    <w:p>
      <w:pPr>
        <w:pStyle w:val="BodyText"/>
      </w:pPr>
      <w:r>
        <w:t xml:space="preserve">I know there are ____________ cubes because</w:t>
      </w:r>
    </w:p>
    <w:bookmarkEnd w:id="49"/>
    <w:bookmarkStart w:id="50" w:name="student-responses"/>
    <w:p>
      <w:pPr>
        <w:pStyle w:val="Heading3"/>
      </w:pPr>
      <w:r>
        <w:t xml:space="preserve">Student Responses</w:t>
      </w:r>
    </w:p>
    <w:p>
      <w:pPr>
        <w:pStyle w:val="FirstParagraph"/>
      </w:pPr>
      <w:r>
        <w:t xml:space="preserve">Sample responses:</w:t>
      </w:r>
    </w:p>
    <w:p>
      <w:pPr>
        <w:numPr>
          <w:ilvl w:val="0"/>
          <w:numId w:val="1007"/>
        </w:numPr>
        <w:pStyle w:val="Compact"/>
      </w:pPr>
      <w:r>
        <w:t xml:space="preserve">I know there are 60 cubes because I counted 6 tens.</w:t>
      </w:r>
    </w:p>
    <w:p>
      <w:pPr>
        <w:numPr>
          <w:ilvl w:val="0"/>
          <w:numId w:val="1007"/>
        </w:numPr>
        <w:pStyle w:val="Compact"/>
      </w:pPr>
      <w:r>
        <w:t xml:space="preserve">I know there are 60 cubes because I counted 10, 20, 30, 40, 50, 60.</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2022-12-14T11:14:51Z</dcterms:created>
  <dcterms:modified xsi:type="dcterms:W3CDTF">2022-12-14T11:14:51Z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wG5eQvuaRq55wh/1+682FsbIDPhzDuSYQAt0rwQsYGrkahsblxK+87wmvOuqyxp+/yB1fmeEuYPFgZHfcCNjNw==</vt:lpwstr>
  </property>
</Properties>
</file>