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0c60ef3e44ceb8bcbc2d45ba08a358469e744f"/>
    <w:p>
      <w:pPr>
        <w:pStyle w:val="Heading2"/>
      </w:pPr>
      <w:r>
        <w:t xml:space="preserve">Lesson 15: Round to the Nearest Ten and Hundred</w:t>
      </w:r>
    </w:p>
    <w:bookmarkEnd w:id="20"/>
    <w:p>
      <w:pPr>
        <w:numPr>
          <w:ilvl w:val="0"/>
          <w:numId w:val="1001"/>
        </w:numPr>
        <w:pStyle w:val="Compact"/>
      </w:pPr>
      <w:r>
        <w:t xml:space="preserve">Let’s round to the nearest ten and hundred.</w:t>
      </w:r>
    </w:p>
    <w:bookmarkStart w:id="21" w:name="X20f15f070c6288d87557380c6b12f794c8e3981"/>
    <w:p>
      <w:pPr>
        <w:pStyle w:val="Heading3"/>
      </w:pPr>
      <w:r>
        <w:t xml:space="preserve">15.1: Can the Nearest Ten and Hundred be the Same?</w:t>
      </w:r>
    </w:p>
    <w:p>
      <w:pPr>
        <w:numPr>
          <w:ilvl w:val="0"/>
          <w:numId w:val="1002"/>
        </w:numPr>
      </w:pPr>
      <w:r>
        <w:t xml:space="preserve">Round each number to the nearest ten and the nearest hundred. Use number lines if you find them helpful.</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center"/>
            </w:pPr>
            <w:r>
              <w:t xml:space="preserve">number</w:t>
            </w:r>
          </w:p>
        </w:tc>
        <w:tc>
          <w:tcPr/>
          <w:p>
            <w:pPr>
              <w:numPr>
                <w:ilvl w:val="0"/>
                <w:numId w:val="1000"/>
              </w:numPr>
              <w:pStyle w:val="Compact"/>
              <w:jc w:val="center"/>
            </w:pPr>
            <w:r>
              <w:t xml:space="preserve">nearest ten</w:t>
            </w:r>
          </w:p>
        </w:tc>
        <w:tc>
          <w:tcPr/>
          <w:p>
            <w:pPr>
              <w:numPr>
                <w:ilvl w:val="0"/>
                <w:numId w:val="1000"/>
              </w:numPr>
              <w:pStyle w:val="Compact"/>
              <w:jc w:val="center"/>
            </w:pPr>
            <w:r>
              <w:t xml:space="preserve">nearest hundred</w:t>
            </w:r>
          </w:p>
        </w:tc>
      </w:tr>
      <w:tr>
        <w:tc>
          <w:tcPr/>
          <w:p>
            <w:pPr>
              <w:numPr>
                <w:ilvl w:val="0"/>
                <w:numId w:val="1000"/>
              </w:numPr>
              <w:pStyle w:val="Compact"/>
              <w:jc w:val="center"/>
            </w:pPr>
            <w:r>
              <w:t xml:space="preserve">18</w:t>
            </w:r>
          </w:p>
        </w:tc>
        <w:tc>
          <w:tcPr/>
          <w:p>
            <w:pPr>
              <w:pStyle w:val="Compact"/>
            </w:pPr>
          </w:p>
        </w:tc>
        <w:tc>
          <w:tcPr/>
          <w:p>
            <w:pPr>
              <w:pStyle w:val="Compact"/>
            </w:pPr>
          </w:p>
        </w:tc>
      </w:tr>
      <w:tr>
        <w:tc>
          <w:tcPr/>
          <w:p>
            <w:pPr>
              <w:numPr>
                <w:ilvl w:val="0"/>
                <w:numId w:val="1000"/>
              </w:numPr>
              <w:pStyle w:val="Compact"/>
              <w:jc w:val="center"/>
            </w:pPr>
            <w:r>
              <w:t xml:space="preserve">97</w:t>
            </w:r>
          </w:p>
        </w:tc>
        <w:tc>
          <w:tcPr/>
          <w:p>
            <w:pPr>
              <w:pStyle w:val="Compact"/>
            </w:pPr>
          </w:p>
        </w:tc>
        <w:tc>
          <w:tcPr/>
          <w:p>
            <w:pPr>
              <w:pStyle w:val="Compact"/>
            </w:pPr>
          </w:p>
        </w:tc>
      </w:tr>
      <w:tr>
        <w:tc>
          <w:tcPr/>
          <w:p>
            <w:pPr>
              <w:numPr>
                <w:ilvl w:val="0"/>
                <w:numId w:val="1000"/>
              </w:numPr>
              <w:pStyle w:val="Compact"/>
              <w:jc w:val="center"/>
            </w:pPr>
            <w:r>
              <w:t xml:space="preserve">312</w:t>
            </w:r>
          </w:p>
        </w:tc>
        <w:tc>
          <w:tcPr/>
          <w:p>
            <w:pPr>
              <w:pStyle w:val="Compact"/>
            </w:pPr>
          </w:p>
        </w:tc>
        <w:tc>
          <w:tcPr/>
          <w:p>
            <w:pPr>
              <w:pStyle w:val="Compact"/>
            </w:pPr>
          </w:p>
        </w:tc>
      </w:tr>
      <w:tr>
        <w:tc>
          <w:tcPr/>
          <w:p>
            <w:pPr>
              <w:numPr>
                <w:ilvl w:val="0"/>
                <w:numId w:val="1000"/>
              </w:numPr>
              <w:pStyle w:val="Compact"/>
              <w:jc w:val="center"/>
            </w:pPr>
            <w:r>
              <w:t xml:space="preserve">439</w:t>
            </w:r>
          </w:p>
        </w:tc>
        <w:tc>
          <w:tcPr/>
          <w:p>
            <w:pPr>
              <w:pStyle w:val="Compact"/>
            </w:pPr>
          </w:p>
        </w:tc>
        <w:tc>
          <w:tcPr/>
          <w:p>
            <w:pPr>
              <w:pStyle w:val="Compact"/>
            </w:pPr>
          </w:p>
        </w:tc>
      </w:tr>
      <w:tr>
        <w:tc>
          <w:tcPr/>
          <w:p>
            <w:pPr>
              <w:numPr>
                <w:ilvl w:val="0"/>
                <w:numId w:val="1000"/>
              </w:numPr>
              <w:pStyle w:val="Compact"/>
              <w:jc w:val="center"/>
            </w:pPr>
            <w:r>
              <w:t xml:space="preserve">601</w:t>
            </w:r>
          </w:p>
        </w:tc>
        <w:tc>
          <w:tcPr/>
          <w:p>
            <w:pPr>
              <w:pStyle w:val="Compact"/>
            </w:pPr>
          </w:p>
        </w:tc>
        <w:tc>
          <w:tcPr/>
          <w:p>
            <w:pPr>
              <w:pStyle w:val="Compact"/>
            </w:pPr>
          </w:p>
        </w:tc>
      </w:tr>
    </w:tbl>
    <w:p>
      <w:pPr>
        <w:numPr>
          <w:ilvl w:val="0"/>
          <w:numId w:val="1002"/>
        </w:numPr>
      </w:pPr>
      <w:r>
        <w:t xml:space="preserve">Kiran and Priya are rounding some numbers and are stuck when trying to round 415 and 750.</w:t>
      </w:r>
    </w:p>
    <w:p>
      <w:pPr>
        <w:numPr>
          <w:ilvl w:val="1"/>
          <w:numId w:val="1003"/>
        </w:numPr>
        <w:pStyle w:val="Compact"/>
      </w:pPr>
      <w:r>
        <w:t xml:space="preserve">Kiran said, “415 doesn’t have a nearest multiple of 10, so it can’t be rounded to the nearest ten.”</w:t>
      </w:r>
    </w:p>
    <w:p>
      <w:pPr>
        <w:numPr>
          <w:ilvl w:val="1"/>
          <w:numId w:val="1003"/>
        </w:numPr>
        <w:pStyle w:val="Compact"/>
      </w:pPr>
      <w:r>
        <w:t xml:space="preserve">Priya said, “750 doesn’t have a nearest multiple of 100, so it can’t be rounded to the nearest hundred.”</w:t>
      </w:r>
    </w:p>
    <w:p>
      <w:pPr>
        <w:numPr>
          <w:ilvl w:val="0"/>
          <w:numId w:val="1000"/>
        </w:numPr>
      </w:pPr>
      <w:r>
        <w:t xml:space="preserve">Do you agree with Kiran and Priya? Explain your reasoning.</w:t>
      </w:r>
    </w:p>
    <w:bookmarkEnd w:id="21"/>
    <w:bookmarkStart w:id="25" w:name="round-to-estimate"/>
    <w:p>
      <w:pPr>
        <w:pStyle w:val="Heading3"/>
      </w:pPr>
      <w:r>
        <w:t xml:space="preserve">15.2: Round to Estimate</w:t>
      </w:r>
    </w:p>
    <w:p>
      <w:pPr>
        <w:pStyle w:val="FirstParagraph"/>
      </w:pPr>
      <w:r>
        <w:t xml:space="preserve">The table shows the numbers of people in different parts of a school at noon during a school day.</w:t>
      </w:r>
    </w:p>
    <w:p>
      <w:pPr>
        <w:pStyle w:val="BodyText"/>
      </w:pPr>
      <w:r>
        <w:t xml:space="preserve">Andre and Lin are trying to estimate the number of people in the whole school. Andre plans to round the numbers to the nearest hundred. Lin plans to round them to the nearest ten.</w:t>
      </w:r>
    </w:p>
    <w:p>
      <w:pPr>
        <w:numPr>
          <w:ilvl w:val="0"/>
          <w:numId w:val="1004"/>
        </w:numPr>
        <w:pStyle w:val="Compact"/>
      </w:pPr>
      <w:r>
        <w:t xml:space="preserve">Make a prediction: Whose estimate is going to be greater? Explain your reasoning.</w:t>
      </w:r>
    </w:p>
    <w:p>
      <w:pPr>
        <w:numPr>
          <w:ilvl w:val="0"/>
          <w:numId w:val="1004"/>
        </w:numPr>
        <w:pStyle w:val="Compact"/>
      </w:pPr>
      <w:r>
        <w:t xml:space="preserve">Work with a partner to find Andre and Lin’s estimates. Record them in the table. Then find the totals.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center"/>
            </w:pPr>
            <w:r>
              <w:t xml:space="preserve">location</w:t>
            </w:r>
          </w:p>
        </w:tc>
        <w:tc>
          <w:tcPr/>
          <w:p>
            <w:pPr>
              <w:numPr>
                <w:ilvl w:val="0"/>
                <w:numId w:val="1000"/>
              </w:numPr>
              <w:pStyle w:val="Compact"/>
              <w:jc w:val="center"/>
            </w:pPr>
            <w:r>
              <w:t xml:space="preserve">number</w:t>
            </w:r>
          </w:p>
        </w:tc>
        <w:tc>
          <w:tcPr/>
          <w:p>
            <w:pPr>
              <w:numPr>
                <w:ilvl w:val="0"/>
                <w:numId w:val="1000"/>
              </w:numPr>
              <w:pStyle w:val="Compact"/>
              <w:jc w:val="center"/>
            </w:pPr>
            <w:r>
              <w:t xml:space="preserve">Andre's estimate</w:t>
            </w:r>
            <w:r>
              <w:br/>
            </w:r>
            <w:r>
              <w:t xml:space="preserve">(nearest hundred)</w:t>
            </w:r>
          </w:p>
        </w:tc>
        <w:tc>
          <w:tcPr/>
          <w:p>
            <w:pPr>
              <w:numPr>
                <w:ilvl w:val="0"/>
                <w:numId w:val="1000"/>
              </w:numPr>
              <w:pStyle w:val="Compact"/>
              <w:jc w:val="center"/>
            </w:pPr>
            <w:r>
              <w:t xml:space="preserve">Lin's estimate</w:t>
            </w:r>
            <w:r>
              <w:br/>
            </w:r>
            <w:r>
              <w:t xml:space="preserve">(nearest ten)</w:t>
            </w:r>
          </w:p>
        </w:tc>
      </w:tr>
      <w:tr>
        <w:tc>
          <w:tcPr/>
          <w:p>
            <w:pPr>
              <w:numPr>
                <w:ilvl w:val="0"/>
                <w:numId w:val="1000"/>
              </w:numPr>
              <w:pStyle w:val="Compact"/>
              <w:jc w:val="center"/>
            </w:pPr>
            <w:r>
              <w:t xml:space="preserve">playground</w:t>
            </w:r>
          </w:p>
        </w:tc>
        <w:tc>
          <w:tcPr/>
          <w:p>
            <w:pPr>
              <w:numPr>
                <w:ilvl w:val="0"/>
                <w:numId w:val="1000"/>
              </w:numPr>
              <w:pStyle w:val="Compact"/>
              <w:jc w:val="center"/>
            </w:pPr>
            <w:r>
              <w:t xml:space="preserve">94</w:t>
            </w:r>
          </w:p>
        </w:tc>
        <w:tc>
          <w:tcPr/>
          <w:p>
            <w:pPr>
              <w:pStyle w:val="Compact"/>
            </w:pPr>
          </w:p>
        </w:tc>
        <w:tc>
          <w:tcPr/>
          <w:p>
            <w:pPr>
              <w:pStyle w:val="Compact"/>
            </w:pPr>
          </w:p>
        </w:tc>
      </w:tr>
      <w:tr>
        <w:tc>
          <w:tcPr/>
          <w:p>
            <w:pPr>
              <w:numPr>
                <w:ilvl w:val="0"/>
                <w:numId w:val="1000"/>
              </w:numPr>
              <w:pStyle w:val="Compact"/>
              <w:jc w:val="center"/>
            </w:pPr>
            <w:r>
              <w:t xml:space="preserve">cafeteria</w:t>
            </w:r>
          </w:p>
        </w:tc>
        <w:tc>
          <w:tcPr/>
          <w:p>
            <w:pPr>
              <w:numPr>
                <w:ilvl w:val="0"/>
                <w:numId w:val="1000"/>
              </w:numPr>
              <w:pStyle w:val="Compact"/>
              <w:jc w:val="center"/>
            </w:pPr>
            <w:r>
              <w:t xml:space="preserve">163</w:t>
            </w:r>
          </w:p>
        </w:tc>
        <w:tc>
          <w:tcPr/>
          <w:p>
            <w:pPr>
              <w:pStyle w:val="Compact"/>
            </w:pPr>
          </w:p>
        </w:tc>
        <w:tc>
          <w:tcPr/>
          <w:p>
            <w:pPr>
              <w:pStyle w:val="Compact"/>
            </w:pPr>
          </w:p>
        </w:tc>
      </w:tr>
      <w:tr>
        <w:tc>
          <w:tcPr/>
          <w:p>
            <w:pPr>
              <w:numPr>
                <w:ilvl w:val="0"/>
                <w:numId w:val="1000"/>
              </w:numPr>
              <w:pStyle w:val="Compact"/>
              <w:jc w:val="center"/>
            </w:pPr>
            <w:r>
              <w:t xml:space="preserve">art room</w:t>
            </w:r>
          </w:p>
        </w:tc>
        <w:tc>
          <w:tcPr/>
          <w:p>
            <w:pPr>
              <w:numPr>
                <w:ilvl w:val="0"/>
                <w:numId w:val="1000"/>
              </w:numPr>
              <w:pStyle w:val="Compact"/>
              <w:jc w:val="center"/>
            </w:pPr>
            <w:r>
              <w:t xml:space="preserve">36</w:t>
            </w:r>
          </w:p>
        </w:tc>
        <w:tc>
          <w:tcPr/>
          <w:p>
            <w:pPr>
              <w:pStyle w:val="Compact"/>
            </w:pPr>
          </w:p>
        </w:tc>
        <w:tc>
          <w:tcPr/>
          <w:p>
            <w:pPr>
              <w:pStyle w:val="Compact"/>
            </w:pPr>
          </w:p>
        </w:tc>
      </w:tr>
      <w:tr>
        <w:tc>
          <w:tcPr/>
          <w:p>
            <w:pPr>
              <w:numPr>
                <w:ilvl w:val="0"/>
                <w:numId w:val="1000"/>
              </w:numPr>
              <w:pStyle w:val="Compact"/>
              <w:jc w:val="center"/>
            </w:pPr>
            <w:r>
              <w:t xml:space="preserve">library</w:t>
            </w:r>
          </w:p>
        </w:tc>
        <w:tc>
          <w:tcPr/>
          <w:p>
            <w:pPr>
              <w:numPr>
                <w:ilvl w:val="0"/>
                <w:numId w:val="1000"/>
              </w:numPr>
              <w:pStyle w:val="Compact"/>
              <w:jc w:val="center"/>
            </w:pPr>
            <w:r>
              <w:t xml:space="preserve">13</w:t>
            </w:r>
          </w:p>
        </w:tc>
        <w:tc>
          <w:tcPr/>
          <w:p>
            <w:pPr>
              <w:pStyle w:val="Compact"/>
            </w:pPr>
          </w:p>
        </w:tc>
        <w:tc>
          <w:tcPr/>
          <w:p>
            <w:pPr>
              <w:pStyle w:val="Compact"/>
            </w:pPr>
          </w:p>
        </w:tc>
      </w:tr>
      <w:tr>
        <w:tc>
          <w:tcPr/>
          <w:p>
            <w:pPr>
              <w:numPr>
                <w:ilvl w:val="0"/>
                <w:numId w:val="1000"/>
              </w:numPr>
              <w:pStyle w:val="Compact"/>
              <w:jc w:val="center"/>
            </w:pPr>
            <w:r>
              <w:t xml:space="preserve">classrooms</w:t>
            </w:r>
          </w:p>
        </w:tc>
        <w:tc>
          <w:tcPr/>
          <w:p>
            <w:pPr>
              <w:numPr>
                <w:ilvl w:val="0"/>
                <w:numId w:val="1000"/>
              </w:numPr>
              <w:pStyle w:val="Compact"/>
              <w:jc w:val="center"/>
            </w:pPr>
            <w:r>
              <w:t xml:space="preserve">216</w:t>
            </w:r>
          </w:p>
        </w:tc>
        <w:tc>
          <w:tcPr/>
          <w:p>
            <w:pPr>
              <w:pStyle w:val="Compact"/>
            </w:pPr>
          </w:p>
        </w:tc>
        <w:tc>
          <w:tcPr/>
          <w:p>
            <w:pPr>
              <w:pStyle w:val="Compact"/>
            </w:pPr>
          </w:p>
        </w:tc>
      </w:tr>
      <w:tr>
        <w:tc>
          <w:tcPr/>
          <w:p>
            <w:pPr>
              <w:numPr>
                <w:ilvl w:val="0"/>
                <w:numId w:val="1000"/>
              </w:numPr>
              <w:pStyle w:val="Compact"/>
              <w:jc w:val="center"/>
            </w:pPr>
            <w:r>
              <w:t xml:space="preserve">gymnasium</w:t>
            </w:r>
          </w:p>
        </w:tc>
        <w:tc>
          <w:tcPr/>
          <w:p>
            <w:pPr>
              <w:numPr>
                <w:ilvl w:val="0"/>
                <w:numId w:val="1000"/>
              </w:numPr>
              <w:pStyle w:val="Compact"/>
              <w:jc w:val="center"/>
            </w:pPr>
            <w:r>
              <w:t xml:space="preserve">109</w:t>
            </w:r>
          </w:p>
        </w:tc>
        <w:tc>
          <w:tcPr/>
          <w:p>
            <w:pPr>
              <w:pStyle w:val="Compact"/>
            </w:pPr>
          </w:p>
        </w:tc>
        <w:tc>
          <w:tcPr/>
          <w:p>
            <w:pPr>
              <w:pStyle w:val="Compact"/>
            </w:pPr>
          </w:p>
        </w:tc>
      </w:tr>
      <w:tr>
        <w:tc>
          <w:tcPr/>
          <w:p>
            <w:pPr>
              <w:numPr>
                <w:ilvl w:val="0"/>
                <w:numId w:val="1000"/>
              </w:numPr>
              <w:pStyle w:val="Compact"/>
              <w:jc w:val="center"/>
            </w:pPr>
            <w:r>
              <w:t xml:space="preserve">music room</w:t>
            </w:r>
          </w:p>
        </w:tc>
        <w:tc>
          <w:tcPr/>
          <w:p>
            <w:pPr>
              <w:numPr>
                <w:ilvl w:val="0"/>
                <w:numId w:val="1000"/>
              </w:numPr>
              <w:pStyle w:val="Compact"/>
              <w:jc w:val="center"/>
            </w:pPr>
            <w:r>
              <w:t xml:space="preserve">52</w:t>
            </w:r>
          </w:p>
        </w:tc>
        <w:tc>
          <w:tcPr/>
          <w:p>
            <w:pPr>
              <w:pStyle w:val="Compact"/>
            </w:pPr>
          </w:p>
        </w:tc>
        <w:tc>
          <w:tcPr/>
          <w:p>
            <w:pPr>
              <w:pStyle w:val="Compact"/>
            </w:pPr>
          </w:p>
        </w:tc>
      </w:tr>
      <w:tr>
        <w:tc>
          <w:tcPr/>
          <w:p>
            <w:pPr>
              <w:numPr>
                <w:ilvl w:val="0"/>
                <w:numId w:val="1000"/>
              </w:numPr>
              <w:pStyle w:val="Compact"/>
              <w:jc w:val="center"/>
            </w:pPr>
            <w:r>
              <w:t xml:space="preserve">total</w:t>
            </w:r>
          </w:p>
        </w:tc>
        <w:tc>
          <w:tcPr/>
          <w:p>
            <w:pPr>
              <w:pStyle w:val="Compact"/>
            </w:pPr>
          </w:p>
        </w:tc>
        <w:tc>
          <w:tcPr/>
          <w:p>
            <w:pPr>
              <w:pStyle w:val="Compact"/>
            </w:pPr>
          </w:p>
        </w:tc>
        <w:tc>
          <w:tcPr/>
          <w:p>
            <w:pPr>
              <w:pStyle w:val="Compact"/>
            </w:pPr>
          </w:p>
        </w:tc>
      </w:tr>
    </w:tbl>
    <w:p>
      <w:pPr>
        <w:numPr>
          <w:ilvl w:val="0"/>
          <w:numId w:val="1004"/>
        </w:numPr>
        <w:pStyle w:val="Compact"/>
      </w:pPr>
      <w:r>
        <w:t xml:space="preserve">Make two observations about the completed table. Was your prediction correct?</w:t>
      </w:r>
    </w:p>
    <w:p>
      <w:pPr>
        <w:pStyle w:val="FirstParagraph"/>
      </w:pPr>
      <w:r>
        <w:drawing>
          <wp:inline>
            <wp:extent cx="762000" cy="266700"/>
            <wp:effectExtent b="0" l="0" r="0" t="0"/>
            <wp:docPr descr="" title="" id="23" name="Picture"/>
            <a:graphic>
              <a:graphicData uri="http://schemas.openxmlformats.org/drawingml/2006/picture">
                <pic:pic>
                  <pic:nvPicPr>
                    <pic:cNvPr descr="/app/app/assets/images/export/ccby_logo_small.png" id="24" name="Picture"/>
                    <pic:cNvPicPr>
                      <a:picLocks noChangeArrowheads="1" noChangeAspect="1"/>
                    </pic:cNvPicPr>
                  </pic:nvPicPr>
                  <pic:blipFill>
                    <a:blip r:embed="rId2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2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2022-12-14T10:09:21Z</dcterms:created>
  <dcterms:modified xsi:type="dcterms:W3CDTF">2022-12-14T10:09:21Z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dPnOR38uj5ttcgVlEIZ8h7Ev6prfEsURhXBghhSsu7tQ/YseE6Z3xqiWpntB4lDviMeTHMuYmAoA+oX2YKO45g==</vt:lpwstr>
  </property>
</Properties>
</file>