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6.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2-side-lengths-and-areas"/>
    <w:p>
      <w:pPr>
        <w:pStyle w:val="Heading2"/>
      </w:pPr>
      <w:r>
        <w:t xml:space="preserve">Unit 8 Lesson 2: Side Lengths and Areas</w:t>
      </w:r>
    </w:p>
    <w:bookmarkEnd w:id="20"/>
    <w:bookmarkStart w:id="25" w:name="X2e616062ffd3ec537ec929ffa84e5d7df924dba"/>
    <w:p>
      <w:pPr>
        <w:pStyle w:val="Heading3"/>
      </w:pPr>
      <w:r>
        <w:t xml:space="preserve">1 Notice and Wonder: Intersecting Circles (Warm up)</w:t>
      </w:r>
    </w:p>
    <w:bookmarkStart w:id="24" w:name="student-task-statement"/>
    <w:p>
      <w:pPr>
        <w:pStyle w:val="Heading4"/>
      </w:pPr>
      <w:r>
        <w:t xml:space="preserve">Student Task Statement</w:t>
      </w:r>
    </w:p>
    <w:p>
      <w:pPr>
        <w:pStyle w:val="FirstParagraph"/>
      </w:pPr>
      <w:r>
        <w:t xml:space="preserve">What do you notice? What do you wonder?</w:t>
      </w:r>
    </w:p>
    <w:p>
      <w:pPr>
        <w:pStyle w:val="BodyText"/>
      </w:pPr>
      <w:r>
        <w:drawing>
          <wp:inline>
            <wp:extent cx="2740141" cy="1868556"/>
            <wp:effectExtent b="0" l="0" r="0" t="0"/>
            <wp:docPr descr="Blue and yellow circles that overlap. Triangle ACB drawn in overlap. AC is yellow, cb is green, ba is blue. " title="" id="22" name="Picture"/>
            <a:graphic>
              <a:graphicData uri="http://schemas.openxmlformats.org/drawingml/2006/picture">
                <pic:pic>
                  <pic:nvPicPr>
                    <pic:cNvPr descr="/app/tmp/embedder-1671034974.8034194.png" id="23" name="Picture"/>
                    <pic:cNvPicPr>
                      <a:picLocks noChangeArrowheads="1" noChangeAspect="1"/>
                    </pic:cNvPicPr>
                  </pic:nvPicPr>
                  <pic:blipFill>
                    <a:blip r:embed="rId21"/>
                    <a:stretch>
                      <a:fillRect/>
                    </a:stretch>
                  </pic:blipFill>
                  <pic:spPr bwMode="auto">
                    <a:xfrm>
                      <a:off x="0" y="0"/>
                      <a:ext cx="2740141" cy="1868556"/>
                    </a:xfrm>
                    <a:prstGeom prst="rect">
                      <a:avLst/>
                    </a:prstGeom>
                    <a:noFill/>
                    <a:ln w="9525">
                      <a:noFill/>
                      <a:headEnd/>
                      <a:tailEnd/>
                    </a:ln>
                  </pic:spPr>
                </pic:pic>
              </a:graphicData>
            </a:graphic>
          </wp:inline>
        </w:drawing>
      </w:r>
    </w:p>
    <w:p>
      <w:pPr>
        <w:pStyle w:val="BodyText"/>
      </w:pPr>
      <w:r>
        <w:t xml:space="preserve"> </w:t>
      </w:r>
    </w:p>
    <w:bookmarkEnd w:id="24"/>
    <w:bookmarkEnd w:id="25"/>
    <w:bookmarkStart w:id="33" w:name="one-square"/>
    <w:p>
      <w:pPr>
        <w:pStyle w:val="Heading3"/>
      </w:pPr>
      <w:r>
        <w:t xml:space="preserve">2 One Square</w:t>
      </w:r>
    </w:p>
    <w:bookmarkStart w:id="32" w:name="student-task-statement-1"/>
    <w:p>
      <w:pPr>
        <w:pStyle w:val="Heading4"/>
      </w:pPr>
      <w:r>
        <w:t xml:space="preserve">Student Task Statement</w:t>
      </w:r>
    </w:p>
    <w:p>
      <w:pPr>
        <w:numPr>
          <w:ilvl w:val="0"/>
          <w:numId w:val="1001"/>
        </w:numPr>
      </w:pPr>
      <w:r>
        <w:t xml:space="preserve">Use the circle to estimate the area of the square shown here:</w:t>
      </w:r>
    </w:p>
    <w:p>
      <w:pPr>
        <w:numPr>
          <w:ilvl w:val="0"/>
          <w:numId w:val="1000"/>
        </w:numPr>
        <w:pStyle w:val="Compact"/>
      </w:pPr>
      <w:r>
        <w:drawing>
          <wp:inline>
            <wp:extent cx="3669832" cy="3945070"/>
            <wp:effectExtent b="0" l="0" r="0" t="0"/>
            <wp:docPr descr="A coordinate plane with the origin labeled “O.” x-axis, scale -6 to 6 , by 1's. y-axis,-6 through 7, by 1's. Circle and square graphed." title="" id="27" name="Picture"/>
            <a:graphic>
              <a:graphicData uri="http://schemas.openxmlformats.org/drawingml/2006/picture">
                <pic:pic>
                  <pic:nvPicPr>
                    <pic:cNvPr descr="/app/tmp/embedder-1671034974.8922184.png" id="28" name="Picture"/>
                    <pic:cNvPicPr>
                      <a:picLocks noChangeArrowheads="1" noChangeAspect="1"/>
                    </pic:cNvPicPr>
                  </pic:nvPicPr>
                  <pic:blipFill>
                    <a:blip r:embed="rId26"/>
                    <a:stretch>
                      <a:fillRect/>
                    </a:stretch>
                  </pic:blipFill>
                  <pic:spPr bwMode="auto">
                    <a:xfrm>
                      <a:off x="0" y="0"/>
                      <a:ext cx="3669832" cy="3945070"/>
                    </a:xfrm>
                    <a:prstGeom prst="rect">
                      <a:avLst/>
                    </a:prstGeom>
                    <a:noFill/>
                    <a:ln w="9525">
                      <a:noFill/>
                      <a:headEnd/>
                      <a:tailEnd/>
                    </a:ln>
                  </pic:spPr>
                </pic:pic>
              </a:graphicData>
            </a:graphic>
          </wp:inline>
        </w:drawing>
      </w:r>
    </w:p>
    <w:p>
      <w:pPr>
        <w:numPr>
          <w:ilvl w:val="0"/>
          <w:numId w:val="1001"/>
        </w:numPr>
      </w:pPr>
      <w:r>
        <w:t xml:space="preserve">Use the grid to check your answer to the first problem.</w:t>
      </w:r>
    </w:p>
    <w:p>
      <w:pPr>
        <w:numPr>
          <w:ilvl w:val="0"/>
          <w:numId w:val="1000"/>
        </w:numPr>
        <w:pStyle w:val="Compact"/>
      </w:pPr>
      <w:r>
        <w:drawing>
          <wp:inline>
            <wp:extent cx="3675949" cy="3963419"/>
            <wp:effectExtent b="0" l="0" r="0" t="0"/>
            <wp:docPr descr="A coordinate grid with the origin labeled “O.” x-axis, scale -6 to 6 , by 1's. y-axis,-6 through 7, by 1's. Circle and square graphed." title="" id="30" name="Picture"/>
            <a:graphic>
              <a:graphicData uri="http://schemas.openxmlformats.org/drawingml/2006/picture">
                <pic:pic>
                  <pic:nvPicPr>
                    <pic:cNvPr descr="/app/tmp/embedder-1671034974.9470274.png" id="31" name="Picture"/>
                    <pic:cNvPicPr>
                      <a:picLocks noChangeArrowheads="1" noChangeAspect="1"/>
                    </pic:cNvPicPr>
                  </pic:nvPicPr>
                  <pic:blipFill>
                    <a:blip r:embed="rId29"/>
                    <a:stretch>
                      <a:fillRect/>
                    </a:stretch>
                  </pic:blipFill>
                  <pic:spPr bwMode="auto">
                    <a:xfrm>
                      <a:off x="0" y="0"/>
                      <a:ext cx="3675949" cy="3963419"/>
                    </a:xfrm>
                    <a:prstGeom prst="rect">
                      <a:avLst/>
                    </a:prstGeom>
                    <a:noFill/>
                    <a:ln w="9525">
                      <a:noFill/>
                      <a:headEnd/>
                      <a:tailEnd/>
                    </a:ln>
                  </pic:spPr>
                </pic:pic>
              </a:graphicData>
            </a:graphic>
          </wp:inline>
        </w:drawing>
      </w:r>
    </w:p>
    <w:bookmarkEnd w:id="32"/>
    <w:bookmarkEnd w:id="33"/>
    <w:bookmarkStart w:id="44" w:name="the-sides-and-areas-of-tilted-squares"/>
    <w:p>
      <w:pPr>
        <w:pStyle w:val="Heading3"/>
      </w:pPr>
      <w:r>
        <w:t xml:space="preserve">3 The Sides and Areas of Tilted Squares</w:t>
      </w:r>
    </w:p>
    <w:bookmarkStart w:id="43" w:name="student-task-statement-2"/>
    <w:p>
      <w:pPr>
        <w:pStyle w:val="Heading4"/>
      </w:pPr>
      <w:r>
        <w:t xml:space="preserve">Student Task Statement</w:t>
      </w:r>
    </w:p>
    <w:p>
      <w:pPr>
        <w:numPr>
          <w:ilvl w:val="0"/>
          <w:numId w:val="1002"/>
        </w:numPr>
      </w:pPr>
      <w:r>
        <w:t xml:space="preserve">Find the area of each square and estimate the side lengths using your geometry toolkit. Then write the exact lengths for the sides of each square.</w:t>
      </w:r>
    </w:p>
    <w:p>
      <w:pPr>
        <w:numPr>
          <w:ilvl w:val="0"/>
          <w:numId w:val="1000"/>
        </w:numPr>
        <w:pStyle w:val="Compact"/>
      </w:pPr>
      <w:r>
        <w:drawing>
          <wp:inline>
            <wp:extent cx="5943600" cy="2174376"/>
            <wp:effectExtent b="0" l="0" r="0" t="0"/>
            <wp:docPr descr="3 squares labeled A, B, C. Square A, side length = square root of 29. Square B, side length = 18. Square C, side length = square root of 13." title="" id="35" name="Picture"/>
            <a:graphic>
              <a:graphicData uri="http://schemas.openxmlformats.org/drawingml/2006/picture">
                <pic:pic>
                  <pic:nvPicPr>
                    <pic:cNvPr descr="/app/tmp/embedder-1671034974.9983382.png" id="36" name="Picture"/>
                    <pic:cNvPicPr>
                      <a:picLocks noChangeArrowheads="1" noChangeAspect="1"/>
                    </pic:cNvPicPr>
                  </pic:nvPicPr>
                  <pic:blipFill>
                    <a:blip r:embed="rId34"/>
                    <a:stretch>
                      <a:fillRect/>
                    </a:stretch>
                  </pic:blipFill>
                  <pic:spPr bwMode="auto">
                    <a:xfrm>
                      <a:off x="0" y="0"/>
                      <a:ext cx="5943600" cy="2174376"/>
                    </a:xfrm>
                    <a:prstGeom prst="rect">
                      <a:avLst/>
                    </a:prstGeom>
                    <a:noFill/>
                    <a:ln w="9525">
                      <a:noFill/>
                      <a:headEnd/>
                      <a:tailEnd/>
                    </a:ln>
                  </pic:spPr>
                </pic:pic>
              </a:graphicData>
            </a:graphic>
          </wp:inline>
        </w:drawing>
      </w:r>
    </w:p>
    <w:p>
      <w:pPr>
        <w:numPr>
          <w:ilvl w:val="0"/>
          <w:numId w:val="1002"/>
        </w:numPr>
        <w:pStyle w:val="Compact"/>
      </w:pPr>
      <w:r>
        <w:t xml:space="preserve">Complete the tables with the missing side lengths and areas.</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numPr>
                <w:ilvl w:val="0"/>
                <w:numId w:val="1000"/>
              </w:numPr>
              <w:pStyle w:val="Compact"/>
              <w:jc w:val="left"/>
            </w:pPr>
            <w:r>
              <w:t xml:space="preserve">side length, </w:t>
            </w:r>
            <m:oMath>
              <m:r>
                <m:t>s</m:t>
              </m:r>
            </m:oMath>
          </w:p>
        </w:tc>
        <w:tc>
          <w:tcPr/>
          <w:p>
            <w:pPr>
              <w:numPr>
                <w:ilvl w:val="0"/>
                <w:numId w:val="1000"/>
              </w:numPr>
              <w:pStyle w:val="Compact"/>
              <w:jc w:val="left"/>
            </w:pPr>
            <w:r>
              <w:t xml:space="preserve">0.5</w:t>
            </w:r>
          </w:p>
        </w:tc>
        <w:tc>
          <w:tcPr/>
          <w:p>
            <w:pPr>
              <w:pStyle w:val="Compact"/>
            </w:pPr>
          </w:p>
        </w:tc>
        <w:tc>
          <w:tcPr/>
          <w:p>
            <w:pPr>
              <w:numPr>
                <w:ilvl w:val="0"/>
                <w:numId w:val="1000"/>
              </w:numPr>
              <w:pStyle w:val="Compact"/>
              <w:jc w:val="left"/>
            </w:pPr>
            <w:r>
              <w:t xml:space="preserve">1.5</w:t>
            </w:r>
          </w:p>
        </w:tc>
        <w:tc>
          <w:tcPr/>
          <w:p>
            <w:pPr>
              <w:pStyle w:val="Compact"/>
            </w:pPr>
          </w:p>
        </w:tc>
        <w:tc>
          <w:tcPr/>
          <w:p>
            <w:pPr>
              <w:numPr>
                <w:ilvl w:val="0"/>
                <w:numId w:val="1000"/>
              </w:numPr>
              <w:pStyle w:val="Compact"/>
              <w:jc w:val="left"/>
            </w:pPr>
            <w:r>
              <w:t xml:space="preserve">2.5</w:t>
            </w:r>
          </w:p>
        </w:tc>
        <w:tc>
          <w:tcPr/>
          <w:p>
            <w:pPr>
              <w:pStyle w:val="Compact"/>
            </w:pPr>
          </w:p>
        </w:tc>
        <w:tc>
          <w:tcPr/>
          <w:p>
            <w:pPr>
              <w:numPr>
                <w:ilvl w:val="0"/>
                <w:numId w:val="1000"/>
              </w:numPr>
              <w:pStyle w:val="Compact"/>
              <w:jc w:val="left"/>
            </w:pPr>
            <w:r>
              <w:t xml:space="preserve">3.5</w:t>
            </w:r>
          </w:p>
        </w:tc>
        <w:tc>
          <w:tcPr/>
          <w:p>
            <w:pPr>
              <w:pStyle w:val="Compact"/>
            </w:pPr>
          </w:p>
        </w:tc>
      </w:tr>
      <w:tr>
        <w:tc>
          <w:tcPr/>
          <w:p>
            <w:pPr>
              <w:numPr>
                <w:ilvl w:val="0"/>
                <w:numId w:val="1000"/>
              </w:numPr>
              <w:pStyle w:val="Compact"/>
              <w:jc w:val="left"/>
            </w:pPr>
            <w:r>
              <w:t xml:space="preserve">area,</w:t>
            </w:r>
            <w:r>
              <w:t xml:space="preserve"> </w:t>
            </w:r>
            <m:oMath>
              <m:r>
                <m:t>a</m:t>
              </m:r>
            </m:oMath>
          </w:p>
        </w:tc>
        <w:tc>
          <w:tcPr/>
          <w:p>
            <w:pPr>
              <w:pStyle w:val="Compact"/>
            </w:pPr>
          </w:p>
        </w:tc>
        <w:tc>
          <w:tcPr/>
          <w:p>
            <w:pPr>
              <w:numPr>
                <w:ilvl w:val="0"/>
                <w:numId w:val="1000"/>
              </w:numPr>
              <w:pStyle w:val="Compact"/>
              <w:jc w:val="left"/>
            </w:pPr>
            <w:r>
              <w:t xml:space="preserve"> 1 </w:t>
            </w:r>
          </w:p>
        </w:tc>
        <w:tc>
          <w:tcPr/>
          <w:p>
            <w:pPr>
              <w:pStyle w:val="Compact"/>
            </w:pPr>
          </w:p>
        </w:tc>
        <w:tc>
          <w:tcPr/>
          <w:p>
            <w:pPr>
              <w:numPr>
                <w:ilvl w:val="0"/>
                <w:numId w:val="1000"/>
              </w:numPr>
              <w:pStyle w:val="Compact"/>
              <w:jc w:val="left"/>
            </w:pPr>
            <w:r>
              <w:t xml:space="preserve"> 4 </w:t>
            </w:r>
          </w:p>
        </w:tc>
        <w:tc>
          <w:tcPr/>
          <w:p>
            <w:pPr>
              <w:pStyle w:val="Compact"/>
            </w:pPr>
          </w:p>
        </w:tc>
        <w:tc>
          <w:tcPr/>
          <w:p>
            <w:pPr>
              <w:numPr>
                <w:ilvl w:val="0"/>
                <w:numId w:val="1000"/>
              </w:numPr>
              <w:pStyle w:val="Compact"/>
              <w:jc w:val="left"/>
            </w:pPr>
            <w:r>
              <w:t xml:space="preserve"> 9 </w:t>
            </w:r>
          </w:p>
        </w:tc>
        <w:tc>
          <w:tcPr/>
          <w:p>
            <w:pPr>
              <w:pStyle w:val="Compact"/>
            </w:pPr>
          </w:p>
        </w:tc>
        <w:tc>
          <w:tcPr/>
          <w:p>
            <w:pPr>
              <w:numPr>
                <w:ilvl w:val="0"/>
                <w:numId w:val="1000"/>
              </w:numPr>
              <w:pStyle w:val="Compact"/>
              <w:jc w:val="left"/>
            </w:pPr>
            <w:r>
              <w:t xml:space="preserve">16</w:t>
            </w:r>
          </w:p>
        </w:tc>
      </w:tr>
    </w:tbl>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numPr>
                <w:ilvl w:val="0"/>
                <w:numId w:val="1000"/>
              </w:numPr>
              <w:pStyle w:val="Compact"/>
              <w:jc w:val="left"/>
            </w:pPr>
            <w:r>
              <w:t xml:space="preserve">side length, </w:t>
            </w:r>
            <m:oMath>
              <m:r>
                <m:t>s</m:t>
              </m:r>
            </m:oMath>
          </w:p>
        </w:tc>
        <w:tc>
          <w:tcPr/>
          <w:p>
            <w:pPr>
              <w:numPr>
                <w:ilvl w:val="0"/>
                <w:numId w:val="1000"/>
              </w:numPr>
              <w:pStyle w:val="Compact"/>
              <w:jc w:val="left"/>
            </w:pPr>
            <w:r>
              <w:t xml:space="preserve">4.5</w:t>
            </w:r>
          </w:p>
        </w:tc>
        <w:tc>
          <w:tcPr/>
          <w:p>
            <w:pPr>
              <w:pStyle w:val="Compact"/>
            </w:pPr>
          </w:p>
        </w:tc>
        <w:tc>
          <w:tcPr/>
          <w:p>
            <w:pPr>
              <w:numPr>
                <w:ilvl w:val="0"/>
                <w:numId w:val="1000"/>
              </w:numPr>
              <w:pStyle w:val="Compact"/>
              <w:jc w:val="left"/>
            </w:pPr>
            <w:r>
              <w:t xml:space="preserve">5.5</w:t>
            </w:r>
          </w:p>
        </w:tc>
        <w:tc>
          <w:tcPr/>
          <w:p>
            <w:pPr>
              <w:pStyle w:val="Compact"/>
            </w:pPr>
          </w:p>
        </w:tc>
        <w:tc>
          <w:tcPr/>
          <w:p>
            <w:pPr>
              <w:numPr>
                <w:ilvl w:val="0"/>
                <w:numId w:val="1000"/>
              </w:numPr>
              <w:pStyle w:val="Compact"/>
              <w:jc w:val="left"/>
            </w:pPr>
            <w:r>
              <w:t xml:space="preserve">6.5</w:t>
            </w:r>
          </w:p>
        </w:tc>
        <w:tc>
          <w:tcPr/>
          <w:p>
            <w:pPr>
              <w:pStyle w:val="Compact"/>
            </w:pPr>
          </w:p>
        </w:tc>
        <w:tc>
          <w:tcPr/>
          <w:p>
            <w:pPr>
              <w:numPr>
                <w:ilvl w:val="0"/>
                <w:numId w:val="1000"/>
              </w:numPr>
              <w:pStyle w:val="Compact"/>
              <w:jc w:val="left"/>
            </w:pPr>
            <w:r>
              <w:t xml:space="preserve">7.5</w:t>
            </w:r>
          </w:p>
        </w:tc>
        <w:tc>
          <w:tcPr/>
          <w:p>
            <w:pPr>
              <w:pStyle w:val="Compact"/>
            </w:pPr>
          </w:p>
        </w:tc>
      </w:tr>
      <w:tr>
        <w:tc>
          <w:tcPr/>
          <w:p>
            <w:pPr>
              <w:numPr>
                <w:ilvl w:val="0"/>
                <w:numId w:val="1000"/>
              </w:numPr>
              <w:pStyle w:val="Compact"/>
              <w:jc w:val="left"/>
            </w:pPr>
            <w:r>
              <w:t xml:space="preserve">area,</w:t>
            </w:r>
            <w:r>
              <w:t xml:space="preserve"> </w:t>
            </w:r>
            <m:oMath>
              <m:r>
                <m:t>a</m:t>
              </m:r>
            </m:oMath>
          </w:p>
        </w:tc>
        <w:tc>
          <w:tcPr/>
          <w:p>
            <w:pPr>
              <w:pStyle w:val="Compact"/>
            </w:pPr>
          </w:p>
        </w:tc>
        <w:tc>
          <w:tcPr/>
          <w:p>
            <w:pPr>
              <w:numPr>
                <w:ilvl w:val="0"/>
                <w:numId w:val="1000"/>
              </w:numPr>
              <w:pStyle w:val="Compact"/>
              <w:jc w:val="left"/>
            </w:pPr>
            <w:r>
              <w:t xml:space="preserve">25</w:t>
            </w:r>
          </w:p>
        </w:tc>
        <w:tc>
          <w:tcPr/>
          <w:p>
            <w:pPr>
              <w:pStyle w:val="Compact"/>
            </w:pPr>
          </w:p>
        </w:tc>
        <w:tc>
          <w:tcPr/>
          <w:p>
            <w:pPr>
              <w:numPr>
                <w:ilvl w:val="0"/>
                <w:numId w:val="1000"/>
              </w:numPr>
              <w:pStyle w:val="Compact"/>
              <w:jc w:val="left"/>
            </w:pPr>
            <w:r>
              <w:t xml:space="preserve">36</w:t>
            </w:r>
          </w:p>
        </w:tc>
        <w:tc>
          <w:tcPr/>
          <w:p>
            <w:pPr>
              <w:pStyle w:val="Compact"/>
            </w:pPr>
          </w:p>
        </w:tc>
        <w:tc>
          <w:tcPr/>
          <w:p>
            <w:pPr>
              <w:numPr>
                <w:ilvl w:val="0"/>
                <w:numId w:val="1000"/>
              </w:numPr>
              <w:pStyle w:val="Compact"/>
              <w:jc w:val="left"/>
            </w:pPr>
            <w:r>
              <w:t xml:space="preserve">49</w:t>
            </w:r>
          </w:p>
        </w:tc>
        <w:tc>
          <w:tcPr/>
          <w:p>
            <w:pPr>
              <w:pStyle w:val="Compact"/>
            </w:pPr>
          </w:p>
        </w:tc>
        <w:tc>
          <w:tcPr/>
          <w:p>
            <w:pPr>
              <w:numPr>
                <w:ilvl w:val="0"/>
                <w:numId w:val="1000"/>
              </w:numPr>
              <w:pStyle w:val="Compact"/>
              <w:jc w:val="left"/>
            </w:pPr>
            <w:r>
              <w:t xml:space="preserve">64</w:t>
            </w:r>
          </w:p>
        </w:tc>
      </w:tr>
    </w:tbl>
    <w:p>
      <w:pPr>
        <w:numPr>
          <w:ilvl w:val="0"/>
          <w:numId w:val="1002"/>
        </w:numPr>
      </w:pPr>
      <w:r>
        <w:t xml:space="preserve">Plot the points,</w:t>
      </w:r>
      <w:r>
        <w:t xml:space="preserve"> </w:t>
      </w:r>
      <m:oMath>
        <m:d>
          <m:dPr>
            <m:begChr m:val="("/>
            <m:endChr m:val=")"/>
            <m:sepChr m:val=""/>
            <m:grow/>
          </m:dPr>
          <m:e>
            <m:r>
              <m:t>s</m:t>
            </m:r>
            <m:r>
              <m:rPr>
                <m:sty m:val="p"/>
              </m:rPr>
              <m:t>,</m:t>
            </m:r>
            <m:r>
              <m:t>a</m:t>
            </m:r>
          </m:e>
        </m:d>
      </m:oMath>
      <w:r>
        <w:t xml:space="preserve">, on the coordinate plane shown here.</w:t>
      </w:r>
    </w:p>
    <w:p>
      <w:pPr>
        <w:numPr>
          <w:ilvl w:val="0"/>
          <w:numId w:val="1000"/>
        </w:numPr>
        <w:pStyle w:val="Compact"/>
      </w:pPr>
      <w:r>
        <w:drawing>
          <wp:inline>
            <wp:extent cx="3379304" cy="3724880"/>
            <wp:effectExtent b="0" l="0" r="0" t="0"/>
            <wp:docPr descr="coordinate plane, x axis, side length in units, scale from 0 to 10, by 2's. y axis, area in square units, scale from 0 to 50, by 5's. " title="" id="38" name="Picture"/>
            <a:graphic>
              <a:graphicData uri="http://schemas.openxmlformats.org/drawingml/2006/picture">
                <pic:pic>
                  <pic:nvPicPr>
                    <pic:cNvPr descr="/app/tmp/embedder-1671034975.0383716.png" id="39" name="Picture"/>
                    <pic:cNvPicPr>
                      <a:picLocks noChangeArrowheads="1" noChangeAspect="1"/>
                    </pic:cNvPicPr>
                  </pic:nvPicPr>
                  <pic:blipFill>
                    <a:blip r:embed="rId37"/>
                    <a:stretch>
                      <a:fillRect/>
                    </a:stretch>
                  </pic:blipFill>
                  <pic:spPr bwMode="auto">
                    <a:xfrm>
                      <a:off x="0" y="0"/>
                      <a:ext cx="3379304" cy="3724880"/>
                    </a:xfrm>
                    <a:prstGeom prst="rect">
                      <a:avLst/>
                    </a:prstGeom>
                    <a:noFill/>
                    <a:ln w="9525">
                      <a:noFill/>
                      <a:headEnd/>
                      <a:tailEnd/>
                    </a:ln>
                  </pic:spPr>
                </pic:pic>
              </a:graphicData>
            </a:graphic>
          </wp:inline>
        </w:drawing>
      </w:r>
    </w:p>
    <w:p>
      <w:pPr>
        <w:numPr>
          <w:ilvl w:val="0"/>
          <w:numId w:val="1002"/>
        </w:numPr>
        <w:pStyle w:val="Compact"/>
      </w:pPr>
      <w:r>
        <w:t xml:space="preserve">Use this graph to estimate the side lengths of the squares in the first question. How do your estimates from the graph compare to the estimates you made initially using your geometry toolkit?</w:t>
      </w:r>
    </w:p>
    <w:p>
      <w:pPr>
        <w:numPr>
          <w:ilvl w:val="0"/>
          <w:numId w:val="1002"/>
        </w:numPr>
      </w:pPr>
      <w:r>
        <w:t xml:space="preserve">Use the graph to approximate</w:t>
      </w:r>
      <w:r>
        <w:t xml:space="preserve"> </w:t>
      </w:r>
      <m:oMath>
        <m:rad>
          <m:radPr>
            <m:degHide m:val="1"/>
          </m:radPr>
          <m:deg/>
          <m:e>
            <m:r>
              <m:t>45</m:t>
            </m:r>
          </m:e>
        </m:rad>
      </m:oMath>
      <w:r>
        <w:t xml:space="preserve">.</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2022-12-14T16:22:55Z</dcterms:created>
  <dcterms:modified xsi:type="dcterms:W3CDTF">2022-12-14T16:22:55Z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yTUTqG+juzJoW5jCtR8Wst4eZNuBA795HssOlcpZRgntMVbxAytDb62/O9zkezra5/YdXZWJ4mKbQevlvlZFVA==</vt:lpwstr>
  </property>
</Properties>
</file>