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a432d866423d860cfebf567ae9b473e1b72f4"/>
    <w:p>
      <w:pPr>
        <w:pStyle w:val="Heading2"/>
      </w:pPr>
      <w:r>
        <w:t xml:space="preserve">Unit 2 Lesson 19: End Behavior of Rational Functions</w:t>
      </w:r>
    </w:p>
    <w:bookmarkEnd w:id="20"/>
    <w:bookmarkStart w:id="25" w:name="different-divisions-revisited-warm-up"/>
    <w:p>
      <w:pPr>
        <w:pStyle w:val="Heading3"/>
      </w:pPr>
      <w:r>
        <w:t xml:space="preserve">1 Different Divisions, Revisited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all three representations of the polynomial division following the forms of the integer division.</w:t>
      </w:r>
    </w:p>
    <w:p>
      <w:pPr>
        <w:pStyle w:val="BodyText"/>
      </w:pPr>
      <w:r>
        <w:drawing>
          <wp:inline>
            <wp:extent cx="1485900" cy="1828800"/>
            <wp:effectExtent b="0" l="0" r="0" t="0"/>
            <wp:docPr descr="Diagram of integer long division of 2,775 by 11 and the equivalent expression 252 + 3/11." title="" id="22" name="Picture"/>
            <a:graphic>
              <a:graphicData uri="http://schemas.openxmlformats.org/drawingml/2006/picture">
                <pic:pic>
                  <pic:nvPicPr>
                    <pic:cNvPr descr="/app/tmp/embedder-1671001617.92886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55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</m:mr>
        </m:m>
      </m:oMath>
    </w:p>
    <w:p>
      <w:pPr>
        <w:pStyle w:val="BodyText"/>
      </w:pPr>
      <m:oMath>
        <m:r>
          <m:t>2775</m:t>
        </m:r>
        <m:r>
          <m:rPr>
            <m:sty m:val="p"/>
          </m:rPr>
          <m:t>=</m:t>
        </m:r>
        <m:r>
          <m:t>11</m:t>
        </m:r>
        <m:d>
          <m:dPr>
            <m:begChr m:val="("/>
            <m:endChr m:val=")"/>
            <m:sepChr m:val=""/>
            <m:grow/>
          </m:dPr>
          <m:e>
            <m:r>
              <m:t>252</m:t>
            </m:r>
          </m:e>
        </m:d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2775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252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11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=</m:t>
        </m:r>
      </m:oMath>
    </w:p>
    <w:bookmarkEnd w:id="24"/>
    <w:bookmarkEnd w:id="25"/>
    <w:bookmarkStart w:id="27" w:name="combined-fuel-economy"/>
    <w:p>
      <w:pPr>
        <w:pStyle w:val="Heading3"/>
      </w:pPr>
      <w:r>
        <w:t xml:space="preserve">2 Combined Fuel Economy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2000, the Environmental Protection Agency (EPA) reported a combined fuel efficiency for cars that assumes 55% city driving and 45% highway driving. The expression for the combined fuel efficiency of a car that gets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mpg in the city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mpg on the highway can be written as</w:t>
      </w:r>
      <w:r>
        <w:t xml:space="preserve"> </w:t>
      </w:r>
      <m:oMath>
        <m:f>
          <m:fPr>
            <m:type m:val="bar"/>
          </m:fPr>
          <m:num>
            <m:r>
              <m:t>100</m:t>
            </m:r>
            <m:r>
              <m:t>x</m:t>
            </m:r>
            <m:r>
              <m:t>h</m:t>
            </m:r>
          </m:num>
          <m:den>
            <m:r>
              <m:t>55</m:t>
            </m:r>
            <m:r>
              <m:t>x</m:t>
            </m:r>
            <m:r>
              <m:rPr>
                <m:sty m:val="p"/>
              </m:rPr>
              <m:t>+</m:t>
            </m:r>
            <m:r>
              <m:t>45</m:t>
            </m:r>
            <m:r>
              <m:t>h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Several conventional cars have a fuel economy for highway driving that is about 10 mpg higher than for city driving. That is,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 Write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that represents the combined fuel efficiency for cars like these in terms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Rewrite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 the form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f>
          <m:fPr>
            <m:type m:val="bar"/>
          </m:fPr>
          <m:num>
            <m:r>
              <m:t>r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r>
              <m:t>b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are polynomials.</w:t>
      </w:r>
    </w:p>
    <w:bookmarkEnd w:id="26"/>
    <w:bookmarkEnd w:id="27"/>
    <w:bookmarkStart w:id="32" w:name="exploring-end-behavior"/>
    <w:p>
      <w:pPr>
        <w:pStyle w:val="Heading3"/>
      </w:pPr>
      <w:r>
        <w:t xml:space="preserve">3 Exploring End Behavior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degree</w:t>
            </w:r>
            <w:r>
              <w:br/>
            </w:r>
            <w:r>
              <w:t xml:space="preserve">of num.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degree</w:t>
            </w:r>
            <w:r>
              <w:br/>
            </w:r>
            <w:r>
              <w:t xml:space="preserve">of den.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rewritten in the form of</w:t>
            </w:r>
            <w:r>
              <w:br/>
            </w:r>
            <m:oMath>
              <m:r>
                <m:t>q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r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</m:e>
                  </m:d>
                </m:num>
                <m:den>
                  <m:r>
                    <m:t>b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end behavior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j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num>
                <m:den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Complete the table to explore the end behavior for rational functions.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end behavior of different types of rational functions?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2022-12-14T07:06:58Z</dcterms:created>
  <dcterms:modified xsi:type="dcterms:W3CDTF">2022-12-14T07:06:58Z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o1SC2vtJb6qPHwlbH1psVS71aHD6yKQanJNPldFgbRmHUMeDl8GX90r7qkVOPkA9Fx0R9u5C+QEZGarlpW9uRA==</vt:lpwstr>
  </property>
</Properties>
</file>