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svg" ContentType="image/svg+xml;base64"/>
  <Override PartName="/word/media/rId27.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19-comparemos-con-1"/>
    <w:p>
      <w:pPr>
        <w:pStyle w:val="Heading1"/>
      </w:pPr>
      <w:r>
        <w:t xml:space="preserve">Lesson 19: Comparemos con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5.NF.B.5.b</w:t>
            </w:r>
          </w:p>
        </w:tc>
      </w:tr>
      <w:tr>
        <w:tc>
          <w:tcPr/>
          <w:p>
            <w:pPr>
              <w:pStyle w:val="Compact"/>
              <w:jc w:val="left"/>
            </w:pPr>
            <w:r>
              <w:t xml:space="preserve">Building Towards</w:t>
            </w:r>
          </w:p>
        </w:tc>
        <w:tc>
          <w:tcPr/>
          <w:p>
            <w:pPr>
              <w:pStyle w:val="Compact"/>
              <w:jc w:val="left"/>
            </w:pPr>
            <w:r>
              <w:t xml:space="preserve">5.NF.B.5.b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Explain what happens to a given fraction when multiplied by a fraction greater than or less than 1.</w:t>
      </w:r>
    </w:p>
    <w:bookmarkEnd w:id="24"/>
    <w:bookmarkStart w:id="25" w:name="student-facing-learning-goals"/>
    <w:p>
      <w:pPr>
        <w:pStyle w:val="Heading3"/>
      </w:pPr>
      <w:r>
        <w:t xml:space="preserve">Student-facing Learning Goals</w:t>
      </w:r>
    </w:p>
    <w:p>
      <w:pPr>
        <w:numPr>
          <w:ilvl w:val="0"/>
          <w:numId w:val="1002"/>
        </w:numPr>
        <w:pStyle w:val="Compact"/>
      </w:pPr>
      <w:r>
        <w:t xml:space="preserve">Expliquemos qué sucede cuando multiplicamos una fracción por una fracción que es mayor que, menor que o igual a 1.</w:t>
      </w:r>
    </w:p>
    <w:p>
      <w:pPr>
        <w:pStyle w:val="FirstParagraph"/>
      </w:pPr>
      <w:r>
        <w:t xml:space="preserve">In previous lessons, students have compared the size of a product to the size of one factor by reasoning about the size of the other factor. They have done this using calculation, area diagrams, and number line diagrams. The goal of this lesson is to use the distributive property to explain why the comparisons work in all cases without calculating. The key observation is that a number greater than 1, such as</w:t>
      </w:r>
      <w:r>
        <w:t xml:space="preserve"> </w:t>
      </w:r>
      <m:oMath>
        <m:f>
          <m:fPr>
            <m:type m:val="bar"/>
          </m:fPr>
          <m:num>
            <m:r>
              <m:t>5</m:t>
            </m:r>
          </m:num>
          <m:den>
            <m:r>
              <m:t>4</m:t>
            </m:r>
          </m:den>
        </m:f>
      </m:oMath>
      <w:r>
        <w:t xml:space="preserve">, can be written as</w:t>
      </w:r>
      <w:r>
        <w:t xml:space="preserve"> </w:t>
      </w:r>
      <m:oMath>
        <m:r>
          <m:t>1</m:t>
        </m:r>
        <m:r>
          <m:rPr>
            <m:sty m:val="p"/>
          </m:rPr>
          <m:t>+</m:t>
        </m:r>
        <m:f>
          <m:fPr>
            <m:type m:val="bar"/>
          </m:fPr>
          <m:num>
            <m:r>
              <m:t>1</m:t>
            </m:r>
          </m:num>
          <m:den>
            <m:r>
              <m:t>4</m:t>
            </m:r>
          </m:den>
        </m:f>
      </m:oMath>
      <w:r>
        <w:t xml:space="preserve"> </w:t>
      </w:r>
      <w:r>
        <w:t xml:space="preserve">so multiplying by</w:t>
      </w:r>
      <w:r>
        <w:t xml:space="preserve"> </w:t>
      </w:r>
      <m:oMath>
        <m:f>
          <m:fPr>
            <m:type m:val="bar"/>
          </m:fPr>
          <m:num>
            <m:r>
              <m:t>5</m:t>
            </m:r>
          </m:num>
          <m:den>
            <m:r>
              <m:t>4</m:t>
            </m:r>
          </m:den>
        </m:f>
      </m:oMath>
      <w:r>
        <w:t xml:space="preserve"> </w:t>
      </w:r>
      <w:r>
        <w:t xml:space="preserve">increases any number by</w:t>
      </w:r>
      <w:r>
        <w:t xml:space="preserve"> </w:t>
      </w:r>
      <m:oMath>
        <m:f>
          <m:fPr>
            <m:type m:val="bar"/>
          </m:fPr>
          <m:num>
            <m:r>
              <m:t>1</m:t>
            </m:r>
          </m:num>
          <m:den>
            <m:r>
              <m:t>4</m:t>
            </m:r>
          </m:den>
        </m:f>
      </m:oMath>
      <w:r>
        <w:t xml:space="preserve"> </w:t>
      </w:r>
      <w:r>
        <w:t xml:space="preserve">of that number. In the same way multiplying by</w:t>
      </w:r>
      <w:r>
        <w:t xml:space="preserve"> </w:t>
      </w:r>
      <m:oMath>
        <m:f>
          <m:fPr>
            <m:type m:val="bar"/>
          </m:fPr>
          <m:num>
            <m:r>
              <m:t>3</m:t>
            </m:r>
          </m:num>
          <m:den>
            <m:r>
              <m:t>4</m:t>
            </m:r>
          </m:den>
        </m:f>
      </m:oMath>
      <w:r>
        <w:t xml:space="preserve"> </w:t>
      </w:r>
      <w:r>
        <w:t xml:space="preserve">or</w:t>
      </w:r>
      <w:r>
        <w:t xml:space="preserve"> </w:t>
      </w:r>
      <m:oMath>
        <m:r>
          <m:t>1</m:t>
        </m:r>
        <m:r>
          <m:rPr>
            <m:sty m:val="p"/>
          </m:rPr>
          <m:t>−</m:t>
        </m:r>
        <m:f>
          <m:fPr>
            <m:type m:val="bar"/>
          </m:fPr>
          <m:num>
            <m:r>
              <m:t>1</m:t>
            </m:r>
          </m:num>
          <m:den>
            <m:r>
              <m:t>4</m:t>
            </m:r>
          </m:den>
        </m:f>
      </m:oMath>
      <w:r>
        <w:t xml:space="preserve"> </w:t>
      </w:r>
      <w:r>
        <w:t xml:space="preserve">decreases any number by</w:t>
      </w:r>
      <w:r>
        <w:t xml:space="preserve"> </w:t>
      </w:r>
      <m:oMath>
        <m:f>
          <m:fPr>
            <m:type m:val="bar"/>
          </m:fPr>
          <m:num>
            <m:r>
              <m:t>1</m:t>
            </m:r>
          </m:num>
          <m:den>
            <m:r>
              <m:t>4</m:t>
            </m:r>
          </m:den>
        </m:f>
      </m:oMath>
      <w:r>
        <w:t xml:space="preserve"> </w:t>
      </w:r>
      <w:r>
        <w:t xml:space="preserve">of that number. </w:t>
      </w:r>
    </w:p>
    <w:p>
      <w:pPr>
        <w:pStyle w:val="BodyText"/>
      </w:pPr>
      <w:r>
        <w:t xml:space="preserve">This lesson has a Student Section Summary.</w:t>
      </w:r>
    </w:p>
    <w:bookmarkEnd w:id="25"/>
    <w:bookmarkStart w:id="26" w:name="access-for"/>
    <w:p>
      <w:pPr>
        <w:pStyle w:val="Heading3"/>
      </w:pPr>
      <w:r>
        <w:t xml:space="preserve">Access for:</w:t>
      </w:r>
    </w:p>
    <w:bookmarkEnd w:id="26"/>
    <w:bookmarkStart w:id="30" w:name="students-with-disabilities"/>
    <w:p>
      <w:pPr>
        <w:pStyle w:val="Heading3"/>
      </w:pPr>
      <w:r>
        <w:drawing>
          <wp:inline>
            <wp:extent cx="3810000" cy="2540000"/>
            <wp:effectExtent b="0" l="0" r="0" t="0"/>
            <wp:docPr descr="" title="" id="28"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2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0"/>
    <w:bookmarkStart w:id="34" w:name="english-learner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4"/>
    <w:bookmarkStart w:id="35" w:name="instructional-routines"/>
    <w:p>
      <w:pPr>
        <w:pStyle w:val="Heading3"/>
      </w:pPr>
      <w:r>
        <w:t xml:space="preserve">Instructional Routines</w:t>
      </w:r>
    </w:p>
    <w:p>
      <w:pPr>
        <w:pStyle w:val="FirstParagraph"/>
      </w:pPr>
      <w:r>
        <w:t xml:space="preserve">What Do You Know About _____? (Warm-up)</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During the last two lessons, students have noticed and explained patterns and generalizations about multiplying by numbers greater than, less than, and equal to 1. What are some ways that you honored student language while strategically incorporating more precise academic language?</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sin calcular</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5.NF.B.5.b</w:t>
            </w:r>
          </w:p>
        </w:tc>
      </w:tr>
    </w:tbl>
    <w:bookmarkEnd w:id="42"/>
    <w:bookmarkStart w:id="43" w:name="student-facing-task-statement"/>
    <w:p>
      <w:pPr>
        <w:pStyle w:val="Heading3"/>
      </w:pPr>
      <w:r>
        <w:t xml:space="preserve">Student-facing Task Statement</w:t>
      </w:r>
    </w:p>
    <w:p>
      <w:pPr>
        <w:numPr>
          <w:ilvl w:val="0"/>
          <w:numId w:val="1005"/>
        </w:numPr>
        <w:pStyle w:val="Compact"/>
      </w:pPr>
      <w:r>
        <w:t xml:space="preserve">¿</w:t>
      </w:r>
      <m:oMath>
        <m:d>
          <m:dPr>
            <m:begChr m:val="("/>
            <m:endChr m:val=")"/>
            <m:sepChr m:val=""/>
            <m:grow/>
          </m:dPr>
          <m:e>
            <m:r>
              <m:t>1</m:t>
            </m:r>
            <m:r>
              <m:rPr>
                <m:sty m:val="p"/>
              </m:rPr>
              <m:t>−</m:t>
            </m:r>
            <m:f>
              <m:fPr>
                <m:type m:val="bar"/>
              </m:fPr>
              <m:num>
                <m:r>
                  <m:t>16</m:t>
                </m:r>
              </m:num>
              <m:den>
                <m:r>
                  <m:t>33</m:t>
                </m:r>
              </m:den>
            </m:f>
          </m:e>
        </m:d>
        <m:r>
          <m:rPr>
            <m:sty m:val="p"/>
          </m:rPr>
          <m:t>×</m:t>
        </m:r>
        <m:f>
          <m:fPr>
            <m:type m:val="bar"/>
          </m:fPr>
          <m:num>
            <m:r>
              <m:t>11</m:t>
            </m:r>
          </m:num>
          <m:den>
            <m:r>
              <m:t>14</m:t>
            </m:r>
          </m:den>
        </m:f>
      </m:oMath>
      <w:r>
        <w:t xml:space="preserve"> es mayor que, igual a o menor que </w:t>
      </w:r>
      <m:oMath>
        <m:f>
          <m:fPr>
            <m:type m:val="bar"/>
          </m:fPr>
          <m:num>
            <m:r>
              <m:t>11</m:t>
            </m:r>
          </m:num>
          <m:den>
            <m:r>
              <m:t>14</m:t>
            </m:r>
          </m:den>
        </m:f>
      </m:oMath>
      <w:r>
        <w:t xml:space="preserve">? Explica o muestra cómo razonaste.</w:t>
      </w:r>
    </w:p>
    <w:p>
      <w:pPr>
        <w:numPr>
          <w:ilvl w:val="0"/>
          <w:numId w:val="1005"/>
        </w:numPr>
        <w:pStyle w:val="Compact"/>
      </w:pPr>
      <w:r>
        <w:t xml:space="preserve">¿</w:t>
      </w:r>
      <m:oMath>
        <m:f>
          <m:fPr>
            <m:type m:val="bar"/>
          </m:fPr>
          <m:num>
            <m:r>
              <m:t>49</m:t>
            </m:r>
          </m:num>
          <m:den>
            <m:r>
              <m:t>33</m:t>
            </m:r>
          </m:den>
        </m:f>
        <m:r>
          <m:t> </m:t>
        </m:r>
        <m:r>
          <m:rPr>
            <m:sty m:val="p"/>
          </m:rPr>
          <m:t>×</m:t>
        </m:r>
        <m:f>
          <m:fPr>
            <m:type m:val="bar"/>
          </m:fPr>
          <m:num>
            <m:r>
              <m:t>11</m:t>
            </m:r>
          </m:num>
          <m:den>
            <m:r>
              <m:t>14</m:t>
            </m:r>
          </m:den>
        </m:f>
      </m:oMath>
      <w:r>
        <w:t xml:space="preserve"> es mayor que, igual a o menor que </w:t>
      </w:r>
      <m:oMath>
        <m:f>
          <m:fPr>
            <m:type m:val="bar"/>
          </m:fPr>
          <m:num>
            <m:r>
              <m:t>11</m:t>
            </m:r>
          </m:num>
          <m:den>
            <m:r>
              <m:t>14</m:t>
            </m:r>
          </m:den>
        </m:f>
      </m:oMath>
      <w:r>
        <w:t xml:space="preserve">? Explica o muestra cómo razonaste.</w:t>
      </w:r>
    </w:p>
    <w:bookmarkEnd w:id="43"/>
    <w:bookmarkStart w:id="44" w:name="student-responses"/>
    <w:p>
      <w:pPr>
        <w:pStyle w:val="Heading3"/>
      </w:pPr>
      <w:r>
        <w:t xml:space="preserve">Student Responses</w:t>
      </w:r>
    </w:p>
    <w:p>
      <w:pPr>
        <w:numPr>
          <w:ilvl w:val="0"/>
          <w:numId w:val="1006"/>
        </w:numPr>
        <w:pStyle w:val="Compact"/>
      </w:pPr>
      <w:r>
        <w:t xml:space="preserve">Less than</w:t>
      </w:r>
      <w:r>
        <w:t xml:space="preserve"> </w:t>
      </w:r>
      <m:oMath>
        <m:f>
          <m:fPr>
            <m:type m:val="bar"/>
          </m:fPr>
          <m:num>
            <m:r>
              <m:t>11</m:t>
            </m:r>
          </m:num>
          <m:den>
            <m:r>
              <m:t>14</m:t>
            </m:r>
          </m:den>
        </m:f>
      </m:oMath>
      <w:r>
        <w:t xml:space="preserve">, because it’s</w:t>
      </w:r>
      <w:r>
        <w:t xml:space="preserve"> </w:t>
      </w:r>
      <m:oMath>
        <m:f>
          <m:fPr>
            <m:type m:val="bar"/>
          </m:fPr>
          <m:num>
            <m:r>
              <m:t>11</m:t>
            </m:r>
          </m:num>
          <m:den>
            <m:r>
              <m:t>14</m:t>
            </m:r>
          </m:den>
        </m:f>
      </m:oMath>
      <w:r>
        <w:t xml:space="preserve"> </w:t>
      </w:r>
      <w:r>
        <w:t xml:space="preserve">minus some amount.</w:t>
      </w:r>
    </w:p>
    <w:p>
      <w:pPr>
        <w:numPr>
          <w:ilvl w:val="0"/>
          <w:numId w:val="1006"/>
        </w:numPr>
        <w:pStyle w:val="Compact"/>
      </w:pPr>
      <w:r>
        <w:t xml:space="preserve">Greater than</w:t>
      </w:r>
      <w:r>
        <w:t xml:space="preserve"> </w:t>
      </w:r>
      <m:oMath>
        <m:f>
          <m:fPr>
            <m:type m:val="bar"/>
          </m:fPr>
          <m:num>
            <m:r>
              <m:t>11</m:t>
            </m:r>
          </m:num>
          <m:den>
            <m:r>
              <m:t>14</m:t>
            </m:r>
          </m:den>
        </m:f>
      </m:oMath>
      <w:r>
        <w:t xml:space="preserve">, because it’s</w:t>
      </w:r>
      <w:r>
        <w:t xml:space="preserve"> </w:t>
      </w:r>
      <m:oMath>
        <m:f>
          <m:fPr>
            <m:type m:val="bar"/>
          </m:fPr>
          <m:num>
            <m:r>
              <m:t>11</m:t>
            </m:r>
          </m:num>
          <m:den>
            <m:r>
              <m:t>14</m:t>
            </m:r>
          </m:den>
        </m:f>
      </m:oMath>
      <w:r>
        <w:t xml:space="preserve"> </w:t>
      </w:r>
      <w:r>
        <w:t xml:space="preserve">plus some amount as I can see by rewriting</w:t>
      </w:r>
      <w:r>
        <w:t xml:space="preserve"> </w:t>
      </w:r>
      <m:oMath>
        <m:f>
          <m:fPr>
            <m:type m:val="bar"/>
          </m:fPr>
          <m:num>
            <m:r>
              <m:t>49</m:t>
            </m:r>
          </m:num>
          <m:den>
            <m:r>
              <m:t>33</m:t>
            </m:r>
          </m:den>
        </m:f>
      </m:oMath>
      <w:r>
        <w:t xml:space="preserve"> </w:t>
      </w:r>
      <w:r>
        <w:t xml:space="preserve">as</w:t>
      </w:r>
      <w:r>
        <w:t xml:space="preserve"> </w:t>
      </w:r>
      <m:oMath>
        <m:r>
          <m:t>1</m:t>
        </m:r>
        <m:r>
          <m:rPr>
            <m:sty m:val="p"/>
          </m:rPr>
          <m:t>+</m:t>
        </m:r>
        <m:f>
          <m:fPr>
            <m:type m:val="bar"/>
          </m:fPr>
          <m:num>
            <m:r>
              <m:t>16</m:t>
            </m:r>
          </m:num>
          <m:den>
            <m:r>
              <m:t>33</m:t>
            </m:r>
          </m:den>
        </m:f>
      </m:oMath>
      <w:r>
        <w:t xml:space="preserve">.</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svg" /><Relationship Type="http://schemas.openxmlformats.org/officeDocument/2006/relationships/image" Id="rId27" Target="media/rId27.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2022-12-15T01:05:42Z</dcterms:created>
  <dcterms:modified xsi:type="dcterms:W3CDTF">2022-12-15T01:05:42Z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8PwNHGao+lswoIxwnhkcA3d5eYvsipwqxAQTKbRznzrU+EhFCiACBvVEL27PfTBrTpEADfgAwTFBjvZZwHycZw==</vt:lpwstr>
  </property>
</Properties>
</file>