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0-día-4-de-centros"/>
    <w:p>
      <w:pPr>
        <w:pStyle w:val="Heading2"/>
      </w:pPr>
      <w:r>
        <w:t xml:space="preserve">Lección 20: Día 4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colecciones de monedas y trabajemos con figuras.</w:t>
      </w:r>
    </w:p>
    <w:bookmarkStart w:id="21" w:name="X1647fe6623ac36237c33b5cb2275c5c0a03fed8"/>
    <w:p>
      <w:pPr>
        <w:pStyle w:val="Heading3"/>
      </w:pPr>
      <w:r>
        <w:t xml:space="preserve">Calentamiento: Conversación numérica: Conexiones para contar monedas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7</m:t>
        </m:r>
      </m:oMath>
    </w:p>
    <w:bookmarkEnd w:id="21"/>
    <w:bookmarkStart w:id="34" w:name="centros-momento-de-escoger"/>
    <w:p>
      <w:pPr>
        <w:pStyle w:val="Heading3"/>
      </w:pPr>
      <w:r>
        <w:t xml:space="preserve">20.2: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prefieres?</w:t>
      </w:r>
    </w:p>
    <w:p>
      <w:pPr>
        <w:pStyle w:val="BodyText"/>
      </w:pPr>
      <w:r>
        <w:drawing>
          <wp:inline>
            <wp:extent cx="2822713" cy="4308995"/>
            <wp:effectExtent b="0" l="0" r="0" t="0"/>
            <wp:docPr descr="Student thinking." title="" id="23" name="Picture"/>
            <a:graphic>
              <a:graphicData uri="http://schemas.openxmlformats.org/drawingml/2006/picture">
                <pic:pic>
                  <pic:nvPicPr>
                    <pic:cNvPr descr="/app/tmp/embedder-1671061627.5764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¿En qué se parecen?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1627.66818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1627.69054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2022-12-14T23:47:08Z</dcterms:created>
  <dcterms:modified xsi:type="dcterms:W3CDTF">2022-12-14T23:47:08Z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yFxWg9pnZUNiYLsyQZsQbCsfxgYTWpWqzmLsFjXzcXHsWBPatu+dHqeEGCwQ/zwEEve/gAfQyLFL6AlmQfxyLA==</vt:lpwstr>
  </property>
</Properties>
</file>