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3.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35f707b0548b6756f14452b53ad3041819e9054"/>
    <w:p>
      <w:pPr>
        <w:pStyle w:val="Heading2"/>
      </w:pPr>
      <w:r>
        <w:t xml:space="preserve">Unit 3 Lesson 3: Associations in Categorical Data</w:t>
      </w:r>
    </w:p>
    <w:bookmarkEnd w:id="20"/>
    <w:bookmarkStart w:id="22" w:name="cake-or-pie-warm-up"/>
    <w:p>
      <w:pPr>
        <w:pStyle w:val="Heading3"/>
      </w:pPr>
      <w:r>
        <w:t xml:space="preserve">1 Cake or Pie (Warm up)</w:t>
      </w:r>
    </w:p>
    <w:bookmarkStart w:id="21" w:name="student-task-statement"/>
    <w:p>
      <w:pPr>
        <w:pStyle w:val="Heading4"/>
      </w:pPr>
      <w:r>
        <w:t xml:space="preserve">Student Task Statement</w:t>
      </w:r>
    </w:p>
    <w:p>
      <w:pPr>
        <w:pStyle w:val="FirstParagraph"/>
      </w:pPr>
      <w:r>
        <w:t xml:space="preserve">The table displays the dessert preference and dominant hand (left- or right-handed) for a sample of 300 people. </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 </w:t>
            </w:r>
          </w:p>
        </w:tc>
        <w:tc>
          <w:tcPr/>
          <w:p>
            <w:pPr>
              <w:pStyle w:val="Compact"/>
              <w:jc w:val="left"/>
            </w:pPr>
            <w:r>
              <w:t xml:space="preserve">prefers cake</w:t>
            </w:r>
          </w:p>
        </w:tc>
        <w:tc>
          <w:tcPr/>
          <w:p>
            <w:pPr>
              <w:pStyle w:val="Compact"/>
              <w:jc w:val="left"/>
            </w:pPr>
            <w:r>
              <w:t xml:space="preserve">prefers pie</w:t>
            </w:r>
          </w:p>
        </w:tc>
        <w:tc>
          <w:tcPr/>
          <w:p>
            <w:pPr>
              <w:pStyle w:val="Compact"/>
              <w:jc w:val="left"/>
            </w:pPr>
            <w:r>
              <w:t xml:space="preserve">total</w:t>
            </w:r>
          </w:p>
        </w:tc>
      </w:tr>
      <w:tr>
        <w:tc>
          <w:tcPr/>
          <w:p>
            <w:pPr>
              <w:pStyle w:val="Compact"/>
              <w:jc w:val="left"/>
            </w:pPr>
            <w:r>
              <w:t xml:space="preserve">left-handed</w:t>
            </w:r>
          </w:p>
        </w:tc>
        <w:tc>
          <w:tcPr/>
          <w:p>
            <w:pPr>
              <w:pStyle w:val="Compact"/>
              <w:jc w:val="left"/>
            </w:pPr>
            <w:r>
              <w:t xml:space="preserve">10</w:t>
            </w:r>
          </w:p>
        </w:tc>
        <w:tc>
          <w:tcPr/>
          <w:p>
            <w:pPr>
              <w:pStyle w:val="Compact"/>
              <w:jc w:val="left"/>
            </w:pPr>
            <w:r>
              <w:t xml:space="preserve">20</w:t>
            </w:r>
          </w:p>
        </w:tc>
        <w:tc>
          <w:tcPr/>
          <w:p>
            <w:pPr>
              <w:pStyle w:val="Compact"/>
              <w:jc w:val="left"/>
            </w:pPr>
            <w:r>
              <w:t xml:space="preserve">30</w:t>
            </w:r>
          </w:p>
        </w:tc>
      </w:tr>
      <w:tr>
        <w:tc>
          <w:tcPr/>
          <w:p>
            <w:pPr>
              <w:pStyle w:val="Compact"/>
              <w:jc w:val="left"/>
            </w:pPr>
            <w:r>
              <w:t xml:space="preserve">right-handed</w:t>
            </w:r>
          </w:p>
        </w:tc>
        <w:tc>
          <w:tcPr/>
          <w:p>
            <w:pPr>
              <w:pStyle w:val="Compact"/>
              <w:jc w:val="left"/>
            </w:pPr>
            <w:r>
              <w:t xml:space="preserve">90</w:t>
            </w:r>
          </w:p>
        </w:tc>
        <w:tc>
          <w:tcPr/>
          <w:p>
            <w:pPr>
              <w:pStyle w:val="Compact"/>
              <w:jc w:val="left"/>
            </w:pPr>
            <w:r>
              <w:t xml:space="preserve">180</w:t>
            </w:r>
          </w:p>
        </w:tc>
        <w:tc>
          <w:tcPr/>
          <w:p>
            <w:pPr>
              <w:pStyle w:val="Compact"/>
              <w:jc w:val="left"/>
            </w:pPr>
            <w:r>
              <w:t xml:space="preserve">270</w:t>
            </w:r>
          </w:p>
        </w:tc>
      </w:tr>
      <w:tr>
        <w:tc>
          <w:tcPr/>
          <w:p>
            <w:pPr>
              <w:pStyle w:val="Compact"/>
              <w:jc w:val="left"/>
            </w:pPr>
            <w:r>
              <w:t xml:space="preserve">total</w:t>
            </w:r>
          </w:p>
        </w:tc>
        <w:tc>
          <w:tcPr/>
          <w:p>
            <w:pPr>
              <w:pStyle w:val="Compact"/>
              <w:jc w:val="left"/>
            </w:pPr>
            <w:r>
              <w:t xml:space="preserve">100</w:t>
            </w:r>
          </w:p>
        </w:tc>
        <w:tc>
          <w:tcPr/>
          <w:p>
            <w:pPr>
              <w:pStyle w:val="Compact"/>
              <w:jc w:val="left"/>
            </w:pPr>
            <w:r>
              <w:t xml:space="preserve">200</w:t>
            </w:r>
          </w:p>
        </w:tc>
        <w:tc>
          <w:tcPr/>
          <w:p>
            <w:pPr>
              <w:pStyle w:val="Compact"/>
              <w:jc w:val="left"/>
            </w:pPr>
            <w:r>
              <w:t xml:space="preserve">300</w:t>
            </w:r>
          </w:p>
        </w:tc>
      </w:tr>
    </w:tbl>
    <w:p>
      <w:pPr>
        <w:pStyle w:val="BodyText"/>
      </w:pPr>
      <w:r>
        <w:t xml:space="preserve">For each of the calculations, describe the interpretation of the percentage in terms of the situation.</w:t>
      </w:r>
    </w:p>
    <w:p>
      <w:pPr>
        <w:numPr>
          <w:ilvl w:val="0"/>
          <w:numId w:val="1001"/>
        </w:numPr>
        <w:pStyle w:val="Compact"/>
      </w:pPr>
      <w:r>
        <w:t xml:space="preserve">10% from</w:t>
      </w:r>
      <w:r>
        <w:t xml:space="preserve"> </w:t>
      </w:r>
      <m:oMath>
        <m:f>
          <m:fPr>
            <m:type m:val="bar"/>
          </m:fPr>
          <m:num>
            <m:r>
              <m:t>10</m:t>
            </m:r>
          </m:num>
          <m:den>
            <m:r>
              <m:t>100</m:t>
            </m:r>
          </m:den>
        </m:f>
        <m:r>
          <m:rPr>
            <m:sty m:val="p"/>
          </m:rPr>
          <m:t>=</m:t>
        </m:r>
        <m:r>
          <m:t>0.1</m:t>
        </m:r>
      </m:oMath>
    </w:p>
    <w:p>
      <w:pPr>
        <w:numPr>
          <w:ilvl w:val="0"/>
          <w:numId w:val="1001"/>
        </w:numPr>
        <w:pStyle w:val="Compact"/>
      </w:pPr>
      <w:r>
        <w:t xml:space="preserve">67% from</w:t>
      </w:r>
      <w:r>
        <w:t xml:space="preserve"> </w:t>
      </w:r>
      <m:oMath>
        <m:f>
          <m:fPr>
            <m:type m:val="bar"/>
          </m:fPr>
          <m:num>
            <m:r>
              <m:t>180</m:t>
            </m:r>
          </m:num>
          <m:den>
            <m:r>
              <m:t>270</m:t>
            </m:r>
          </m:den>
        </m:f>
        <m:r>
          <m:rPr>
            <m:sty m:val="p"/>
          </m:rPr>
          <m:t>≈</m:t>
        </m:r>
        <m:r>
          <m:t>0.67</m:t>
        </m:r>
      </m:oMath>
    </w:p>
    <w:p>
      <w:pPr>
        <w:numPr>
          <w:ilvl w:val="0"/>
          <w:numId w:val="1001"/>
        </w:numPr>
        <w:pStyle w:val="Compact"/>
      </w:pPr>
      <w:r>
        <w:t xml:space="preserve">30% from</w:t>
      </w:r>
      <w:r>
        <w:t xml:space="preserve"> </w:t>
      </w:r>
      <m:oMath>
        <m:f>
          <m:fPr>
            <m:type m:val="bar"/>
          </m:fPr>
          <m:num>
            <m:r>
              <m:t>90</m:t>
            </m:r>
          </m:num>
          <m:den>
            <m:r>
              <m:t>300</m:t>
            </m:r>
          </m:den>
        </m:f>
        <m:r>
          <m:rPr>
            <m:sty m:val="p"/>
          </m:rPr>
          <m:t>=</m:t>
        </m:r>
        <m:r>
          <m:t>0.3</m:t>
        </m:r>
      </m:oMath>
    </w:p>
    <w:bookmarkEnd w:id="21"/>
    <w:bookmarkEnd w:id="22"/>
    <w:bookmarkStart w:id="27" w:name="associations-in-categorical-data"/>
    <w:p>
      <w:pPr>
        <w:pStyle w:val="Heading3"/>
      </w:pPr>
      <w:r>
        <w:t xml:space="preserve">2 Associations in Categorical Data</w:t>
      </w:r>
    </w:p>
    <w:bookmarkStart w:id="26" w:name="student-task-statement-1"/>
    <w:p>
      <w:pPr>
        <w:pStyle w:val="Heading4"/>
      </w:pPr>
      <w:r>
        <w:t xml:space="preserve">Student Task Statement</w:t>
      </w:r>
    </w:p>
    <w:p>
      <w:pPr>
        <w:pStyle w:val="FirstParagraph"/>
      </w:pPr>
      <w:r>
        <w:drawing>
          <wp:inline>
            <wp:extent cx="5943600" cy="3134320"/>
            <wp:effectExtent b="0" l="0" r="0" t="0"/>
            <wp:docPr descr="Coral underwater with diver" title="" id="24" name="Picture"/>
            <a:graphic>
              <a:graphicData uri="http://schemas.openxmlformats.org/drawingml/2006/picture">
                <pic:pic>
                  <pic:nvPicPr>
                    <pic:cNvPr descr="/app/tmp/embedder-1670993584.1629624.jpg" id="25" name="Picture"/>
                    <pic:cNvPicPr>
                      <a:picLocks noChangeArrowheads="1" noChangeAspect="1"/>
                    </pic:cNvPicPr>
                  </pic:nvPicPr>
                  <pic:blipFill>
                    <a:blip r:embed="rId23"/>
                    <a:stretch>
                      <a:fillRect/>
                    </a:stretch>
                  </pic:blipFill>
                  <pic:spPr bwMode="auto">
                    <a:xfrm>
                      <a:off x="0" y="0"/>
                      <a:ext cx="5943600" cy="3134320"/>
                    </a:xfrm>
                    <a:prstGeom prst="rect">
                      <a:avLst/>
                    </a:prstGeom>
                    <a:noFill/>
                    <a:ln w="9525">
                      <a:noFill/>
                      <a:headEnd/>
                      <a:tailEnd/>
                    </a:ln>
                  </pic:spPr>
                </pic:pic>
              </a:graphicData>
            </a:graphic>
          </wp:inline>
        </w:drawing>
      </w:r>
    </w:p>
    <w:p>
      <w:pPr>
        <w:numPr>
          <w:ilvl w:val="0"/>
          <w:numId w:val="1002"/>
        </w:numPr>
      </w:pPr>
      <w:r>
        <w:t xml:space="preserve">The two-way table displays data about 55 different locations. Scientists have a list of possible chemicals that may influence the health of the coral. They first look at how nitrate concentration might be related to coral health. The table displays the health of the coral (healthy or unhealthy) and nitrate concentration (low or high).</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low nitrate concentration</w:t>
            </w:r>
          </w:p>
        </w:tc>
        <w:tc>
          <w:tcPr/>
          <w:p>
            <w:pPr>
              <w:numPr>
                <w:ilvl w:val="0"/>
                <w:numId w:val="1000"/>
              </w:numPr>
              <w:pStyle w:val="Compact"/>
              <w:jc w:val="left"/>
            </w:pPr>
            <w:r>
              <w:t xml:space="preserve">high nitrate concentration</w:t>
            </w:r>
          </w:p>
        </w:tc>
        <w:tc>
          <w:tcPr/>
          <w:p>
            <w:pPr>
              <w:numPr>
                <w:ilvl w:val="0"/>
                <w:numId w:val="1000"/>
              </w:numPr>
              <w:pStyle w:val="Compact"/>
              <w:jc w:val="left"/>
            </w:pPr>
            <w:r>
              <w:t xml:space="preserve">total</w:t>
            </w:r>
          </w:p>
        </w:tc>
      </w:tr>
      <w:tr>
        <w:tc>
          <w:tcPr/>
          <w:p>
            <w:pPr>
              <w:numPr>
                <w:ilvl w:val="0"/>
                <w:numId w:val="1000"/>
              </w:numPr>
              <w:pStyle w:val="Compact"/>
              <w:jc w:val="left"/>
            </w:pPr>
            <w:r>
              <w:t xml:space="preserve">healthy</w:t>
            </w:r>
          </w:p>
        </w:tc>
        <w:tc>
          <w:tcPr/>
          <w:p>
            <w:pPr>
              <w:numPr>
                <w:ilvl w:val="0"/>
                <w:numId w:val="1000"/>
              </w:numPr>
              <w:pStyle w:val="Compact"/>
              <w:jc w:val="left"/>
            </w:pPr>
            <w:r>
              <w:t xml:space="preserve">20</w:t>
            </w:r>
          </w:p>
        </w:tc>
        <w:tc>
          <w:tcPr/>
          <w:p>
            <w:pPr>
              <w:numPr>
                <w:ilvl w:val="0"/>
                <w:numId w:val="1000"/>
              </w:numPr>
              <w:pStyle w:val="Compact"/>
              <w:jc w:val="left"/>
            </w:pPr>
            <w:r>
              <w:t xml:space="preserve">5</w:t>
            </w:r>
          </w:p>
        </w:tc>
        <w:tc>
          <w:tcPr/>
          <w:p>
            <w:pPr>
              <w:numPr>
                <w:ilvl w:val="0"/>
                <w:numId w:val="1000"/>
              </w:numPr>
              <w:pStyle w:val="Compact"/>
              <w:jc w:val="left"/>
            </w:pPr>
            <w:r>
              <w:t xml:space="preserve">25</w:t>
            </w:r>
          </w:p>
        </w:tc>
      </w:tr>
      <w:tr>
        <w:tc>
          <w:tcPr/>
          <w:p>
            <w:pPr>
              <w:numPr>
                <w:ilvl w:val="0"/>
                <w:numId w:val="1000"/>
              </w:numPr>
              <w:pStyle w:val="Compact"/>
              <w:jc w:val="left"/>
            </w:pPr>
            <w:r>
              <w:t xml:space="preserve">unhealthy</w:t>
            </w:r>
          </w:p>
        </w:tc>
        <w:tc>
          <w:tcPr/>
          <w:p>
            <w:pPr>
              <w:numPr>
                <w:ilvl w:val="0"/>
                <w:numId w:val="1000"/>
              </w:numPr>
              <w:pStyle w:val="Compact"/>
              <w:jc w:val="left"/>
            </w:pPr>
            <w:r>
              <w:t xml:space="preserve">8</w:t>
            </w:r>
          </w:p>
        </w:tc>
        <w:tc>
          <w:tcPr/>
          <w:p>
            <w:pPr>
              <w:numPr>
                <w:ilvl w:val="0"/>
                <w:numId w:val="1000"/>
              </w:numPr>
              <w:pStyle w:val="Compact"/>
              <w:jc w:val="left"/>
            </w:pPr>
            <w:r>
              <w:t xml:space="preserve">22</w:t>
            </w:r>
          </w:p>
        </w:tc>
        <w:tc>
          <w:tcPr/>
          <w:p>
            <w:pPr>
              <w:numPr>
                <w:ilvl w:val="0"/>
                <w:numId w:val="1000"/>
              </w:numPr>
              <w:pStyle w:val="Compact"/>
              <w:jc w:val="left"/>
            </w:pPr>
            <w:r>
              <w:t xml:space="preserve">30</w:t>
            </w:r>
          </w:p>
        </w:tc>
      </w:tr>
      <w:tr>
        <w:tc>
          <w:tcPr/>
          <w:p>
            <w:pPr>
              <w:numPr>
                <w:ilvl w:val="0"/>
                <w:numId w:val="1000"/>
              </w:numPr>
              <w:pStyle w:val="Compact"/>
              <w:jc w:val="left"/>
            </w:pPr>
            <w:r>
              <w:t xml:space="preserve">total</w:t>
            </w:r>
          </w:p>
        </w:tc>
        <w:tc>
          <w:tcPr/>
          <w:p>
            <w:pPr>
              <w:numPr>
                <w:ilvl w:val="0"/>
                <w:numId w:val="1000"/>
              </w:numPr>
              <w:pStyle w:val="Compact"/>
              <w:jc w:val="left"/>
            </w:pPr>
            <w:r>
              <w:t xml:space="preserve">28</w:t>
            </w:r>
          </w:p>
        </w:tc>
        <w:tc>
          <w:tcPr/>
          <w:p>
            <w:pPr>
              <w:numPr>
                <w:ilvl w:val="0"/>
                <w:numId w:val="1000"/>
              </w:numPr>
              <w:pStyle w:val="Compact"/>
              <w:jc w:val="left"/>
            </w:pPr>
            <w:r>
              <w:t xml:space="preserve">27</w:t>
            </w:r>
          </w:p>
        </w:tc>
        <w:tc>
          <w:tcPr/>
          <w:p>
            <w:pPr>
              <w:numPr>
                <w:ilvl w:val="0"/>
                <w:numId w:val="1000"/>
              </w:numPr>
              <w:pStyle w:val="Compact"/>
              <w:jc w:val="left"/>
            </w:pPr>
            <w:r>
              <w:t xml:space="preserve">55</w:t>
            </w:r>
          </w:p>
        </w:tc>
      </w:tr>
    </w:tbl>
    <w:p>
      <w:pPr>
        <w:numPr>
          <w:ilvl w:val="1"/>
          <w:numId w:val="1003"/>
        </w:numPr>
      </w:pPr>
      <w:r>
        <w:t xml:space="preserve">Complete the two-way relative frequency table for the data in the two-way table in which the relative frequencies are based on the total for each column.</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1"/>
                <w:numId w:val="1000"/>
              </w:numPr>
              <w:pStyle w:val="Compact"/>
              <w:jc w:val="left"/>
            </w:pPr>
            <w:r>
              <w:t xml:space="preserve"> </w:t>
            </w:r>
          </w:p>
        </w:tc>
        <w:tc>
          <w:tcPr/>
          <w:p>
            <w:pPr>
              <w:numPr>
                <w:ilvl w:val="1"/>
                <w:numId w:val="1000"/>
              </w:numPr>
              <w:pStyle w:val="Compact"/>
              <w:jc w:val="left"/>
            </w:pPr>
            <w:r>
              <w:t xml:space="preserve">low nitrate concentration</w:t>
            </w:r>
          </w:p>
        </w:tc>
        <w:tc>
          <w:tcPr/>
          <w:p>
            <w:pPr>
              <w:numPr>
                <w:ilvl w:val="1"/>
                <w:numId w:val="1000"/>
              </w:numPr>
              <w:pStyle w:val="Compact"/>
              <w:jc w:val="left"/>
            </w:pPr>
            <w:r>
              <w:t xml:space="preserve">high nitrate concentration</w:t>
            </w:r>
          </w:p>
        </w:tc>
      </w:tr>
      <w:tr>
        <w:tc>
          <w:tcPr/>
          <w:p>
            <w:pPr>
              <w:numPr>
                <w:ilvl w:val="1"/>
                <w:numId w:val="1000"/>
              </w:numPr>
              <w:pStyle w:val="Compact"/>
              <w:jc w:val="left"/>
            </w:pPr>
            <w:r>
              <w:t xml:space="preserve">healthy</w:t>
            </w:r>
          </w:p>
        </w:tc>
        <w:tc>
          <w:tcPr/>
          <w:p>
            <w:pPr>
              <w:numPr>
                <w:ilvl w:val="1"/>
                <w:numId w:val="1000"/>
              </w:numPr>
              <w:pStyle w:val="Compact"/>
              <w:jc w:val="left"/>
            </w:pPr>
            <w:r>
              <w:t xml:space="preserve"> </w:t>
            </w:r>
          </w:p>
        </w:tc>
        <w:tc>
          <w:tcPr/>
          <w:p>
            <w:pPr>
              <w:numPr>
                <w:ilvl w:val="1"/>
                <w:numId w:val="1000"/>
              </w:numPr>
              <w:pStyle w:val="Compact"/>
              <w:jc w:val="left"/>
            </w:pPr>
            <w:r>
              <w:t xml:space="preserve"> </w:t>
            </w:r>
          </w:p>
        </w:tc>
      </w:tr>
      <w:tr>
        <w:tc>
          <w:tcPr/>
          <w:p>
            <w:pPr>
              <w:numPr>
                <w:ilvl w:val="1"/>
                <w:numId w:val="1000"/>
              </w:numPr>
              <w:pStyle w:val="Compact"/>
              <w:jc w:val="left"/>
            </w:pPr>
            <w:r>
              <w:t xml:space="preserve">unhealthy</w:t>
            </w:r>
          </w:p>
        </w:tc>
        <w:tc>
          <w:tcPr/>
          <w:p>
            <w:pPr>
              <w:numPr>
                <w:ilvl w:val="1"/>
                <w:numId w:val="1000"/>
              </w:numPr>
              <w:pStyle w:val="Compact"/>
              <w:jc w:val="left"/>
            </w:pPr>
            <w:r>
              <w:t xml:space="preserve"> </w:t>
            </w:r>
          </w:p>
        </w:tc>
        <w:tc>
          <w:tcPr/>
          <w:p>
            <w:pPr>
              <w:numPr>
                <w:ilvl w:val="1"/>
                <w:numId w:val="1000"/>
              </w:numPr>
              <w:pStyle w:val="Compact"/>
              <w:jc w:val="left"/>
            </w:pPr>
            <w:r>
              <w:t xml:space="preserve"> </w:t>
            </w: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1"/>
          <w:numId w:val="1003"/>
        </w:numPr>
      </w:pPr>
      <w:r>
        <w:t xml:space="preserve">When there is a low nitrate concentration, which had a higher relative frequency, healthy or unhealthy coral?</w:t>
      </w:r>
    </w:p>
    <w:p>
      <w:pPr>
        <w:numPr>
          <w:ilvl w:val="1"/>
          <w:numId w:val="1003"/>
        </w:numPr>
      </w:pPr>
      <w:r>
        <w:t xml:space="preserve">When there is a high nitrate concentration, is there a higher relative frequency of healthy or unhealthy coral?</w:t>
      </w:r>
    </w:p>
    <w:p>
      <w:pPr>
        <w:numPr>
          <w:ilvl w:val="1"/>
          <w:numId w:val="1003"/>
        </w:numPr>
      </w:pPr>
      <w:r>
        <w:t xml:space="preserve">Based on this data, is there a possible</w:t>
      </w:r>
      <w:r>
        <w:t xml:space="preserve"> </w:t>
      </w:r>
      <w:r>
        <w:rPr>
          <w:bCs/>
          <w:b/>
        </w:rPr>
        <w:t xml:space="preserve">association</w:t>
      </w:r>
      <w:r>
        <w:t xml:space="preserve"> </w:t>
      </w:r>
      <w:r>
        <w:t xml:space="preserve">between coral health and the level of nitrate concentration? Explain your reasoning.</w:t>
      </w:r>
    </w:p>
    <w:p>
      <w:pPr>
        <w:numPr>
          <w:ilvl w:val="1"/>
          <w:numId w:val="1003"/>
        </w:numPr>
      </w:pPr>
      <w:r>
        <w:t xml:space="preserve">The scientists next look at how silicon dioxide concentration might be related to coral health. The relative frequencies based on the total for each column are shown in the table. Based on this data, is there a possible association between coral health and the level of silicon dioxide concentration? Explain your reasoning.</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1"/>
                <w:numId w:val="1000"/>
              </w:numPr>
              <w:pStyle w:val="Compact"/>
              <w:jc w:val="left"/>
            </w:pPr>
            <w:r>
              <w:t xml:space="preserve"> </w:t>
            </w:r>
          </w:p>
        </w:tc>
        <w:tc>
          <w:tcPr/>
          <w:p>
            <w:pPr>
              <w:numPr>
                <w:ilvl w:val="1"/>
                <w:numId w:val="1000"/>
              </w:numPr>
              <w:pStyle w:val="Compact"/>
              <w:jc w:val="left"/>
            </w:pPr>
            <w:r>
              <w:t xml:space="preserve">low silicon dioxide concentration</w:t>
            </w:r>
          </w:p>
        </w:tc>
        <w:tc>
          <w:tcPr/>
          <w:p>
            <w:pPr>
              <w:numPr>
                <w:ilvl w:val="1"/>
                <w:numId w:val="1000"/>
              </w:numPr>
              <w:pStyle w:val="Compact"/>
              <w:jc w:val="left"/>
            </w:pPr>
            <w:r>
              <w:t xml:space="preserve">high silicon dioxide concentration</w:t>
            </w:r>
          </w:p>
        </w:tc>
      </w:tr>
      <w:tr>
        <w:tc>
          <w:tcPr/>
          <w:p>
            <w:pPr>
              <w:numPr>
                <w:ilvl w:val="1"/>
                <w:numId w:val="1000"/>
              </w:numPr>
              <w:pStyle w:val="Compact"/>
              <w:jc w:val="left"/>
            </w:pPr>
            <w:r>
              <w:t xml:space="preserve">healthy</w:t>
            </w:r>
          </w:p>
        </w:tc>
        <w:tc>
          <w:tcPr/>
          <w:p>
            <w:pPr>
              <w:numPr>
                <w:ilvl w:val="1"/>
                <w:numId w:val="1000"/>
              </w:numPr>
              <w:pStyle w:val="Compact"/>
              <w:jc w:val="left"/>
            </w:pPr>
            <w:r>
              <w:t xml:space="preserve">44%</w:t>
            </w:r>
          </w:p>
        </w:tc>
        <w:tc>
          <w:tcPr/>
          <w:p>
            <w:pPr>
              <w:numPr>
                <w:ilvl w:val="1"/>
                <w:numId w:val="1000"/>
              </w:numPr>
              <w:pStyle w:val="Compact"/>
              <w:jc w:val="left"/>
            </w:pPr>
            <w:r>
              <w:t xml:space="preserve">46%</w:t>
            </w:r>
          </w:p>
        </w:tc>
      </w:tr>
      <w:tr>
        <w:tc>
          <w:tcPr/>
          <w:p>
            <w:pPr>
              <w:numPr>
                <w:ilvl w:val="1"/>
                <w:numId w:val="1000"/>
              </w:numPr>
              <w:pStyle w:val="Compact"/>
              <w:jc w:val="left"/>
            </w:pPr>
            <w:r>
              <w:t xml:space="preserve">unhealthy</w:t>
            </w:r>
          </w:p>
        </w:tc>
        <w:tc>
          <w:tcPr/>
          <w:p>
            <w:pPr>
              <w:numPr>
                <w:ilvl w:val="1"/>
                <w:numId w:val="1000"/>
              </w:numPr>
              <w:pStyle w:val="Compact"/>
              <w:jc w:val="left"/>
            </w:pPr>
            <w:r>
              <w:t xml:space="preserve">56%</w:t>
            </w:r>
          </w:p>
        </w:tc>
        <w:tc>
          <w:tcPr/>
          <w:p>
            <w:pPr>
              <w:numPr>
                <w:ilvl w:val="1"/>
                <w:numId w:val="1000"/>
              </w:numPr>
              <w:pStyle w:val="Compact"/>
              <w:jc w:val="left"/>
            </w:pPr>
            <w:r>
              <w:t xml:space="preserve">54%</w:t>
            </w: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0"/>
          <w:numId w:val="1002"/>
        </w:numPr>
      </w:pPr>
      <w:r>
        <w:t xml:space="preserve">Jada surveyed 300 people from various age groups about their shoe preference. The two-way table summarizes the results of the survey. </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prefers sneakers without laces</w:t>
            </w:r>
          </w:p>
        </w:tc>
        <w:tc>
          <w:tcPr/>
          <w:p>
            <w:pPr>
              <w:numPr>
                <w:ilvl w:val="0"/>
                <w:numId w:val="1000"/>
              </w:numPr>
              <w:pStyle w:val="Compact"/>
              <w:jc w:val="left"/>
            </w:pPr>
            <w:r>
              <w:t xml:space="preserve">prefers sneakers with laces</w:t>
            </w:r>
          </w:p>
        </w:tc>
        <w:tc>
          <w:tcPr/>
          <w:p>
            <w:pPr>
              <w:numPr>
                <w:ilvl w:val="0"/>
                <w:numId w:val="1000"/>
              </w:numPr>
              <w:pStyle w:val="Compact"/>
              <w:jc w:val="left"/>
            </w:pPr>
            <w:r>
              <w:t xml:space="preserve">prefers shoes that are not sneakers</w:t>
            </w:r>
          </w:p>
        </w:tc>
        <w:tc>
          <w:tcPr/>
          <w:p>
            <w:pPr>
              <w:numPr>
                <w:ilvl w:val="0"/>
                <w:numId w:val="1000"/>
              </w:numPr>
              <w:pStyle w:val="Compact"/>
              <w:jc w:val="left"/>
            </w:pPr>
            <w:r>
              <w:t xml:space="preserve">total</w:t>
            </w:r>
          </w:p>
        </w:tc>
      </w:tr>
      <w:tr>
        <w:tc>
          <w:tcPr/>
          <w:p>
            <w:pPr>
              <w:numPr>
                <w:ilvl w:val="0"/>
                <w:numId w:val="1000"/>
              </w:numPr>
              <w:pStyle w:val="Compact"/>
              <w:jc w:val="left"/>
            </w:pPr>
            <w:r>
              <w:t xml:space="preserve">4–10 years old</w:t>
            </w:r>
          </w:p>
        </w:tc>
        <w:tc>
          <w:tcPr/>
          <w:p>
            <w:pPr>
              <w:numPr>
                <w:ilvl w:val="0"/>
                <w:numId w:val="1000"/>
              </w:numPr>
              <w:pStyle w:val="Compact"/>
              <w:jc w:val="left"/>
            </w:pPr>
            <w:r>
              <w:t xml:space="preserve">21</w:t>
            </w:r>
          </w:p>
        </w:tc>
        <w:tc>
          <w:tcPr/>
          <w:p>
            <w:pPr>
              <w:numPr>
                <w:ilvl w:val="0"/>
                <w:numId w:val="1000"/>
              </w:numPr>
              <w:pStyle w:val="Compact"/>
              <w:jc w:val="left"/>
            </w:pPr>
            <w:r>
              <w:t xml:space="preserve">12</w:t>
            </w:r>
          </w:p>
        </w:tc>
        <w:tc>
          <w:tcPr/>
          <w:p>
            <w:pPr>
              <w:numPr>
                <w:ilvl w:val="0"/>
                <w:numId w:val="1000"/>
              </w:numPr>
              <w:pStyle w:val="Compact"/>
              <w:jc w:val="left"/>
            </w:pPr>
            <w:r>
              <w:t xml:space="preserve">3</w:t>
            </w:r>
          </w:p>
        </w:tc>
        <w:tc>
          <w:tcPr/>
          <w:p>
            <w:pPr>
              <w:numPr>
                <w:ilvl w:val="0"/>
                <w:numId w:val="1000"/>
              </w:numPr>
              <w:pStyle w:val="Compact"/>
              <w:jc w:val="left"/>
            </w:pPr>
            <w:r>
              <w:t xml:space="preserve">36</w:t>
            </w:r>
          </w:p>
        </w:tc>
      </w:tr>
      <w:tr>
        <w:tc>
          <w:tcPr/>
          <w:p>
            <w:pPr>
              <w:numPr>
                <w:ilvl w:val="0"/>
                <w:numId w:val="1000"/>
              </w:numPr>
              <w:pStyle w:val="Compact"/>
              <w:jc w:val="left"/>
            </w:pPr>
            <w:r>
              <w:t xml:space="preserve">11–17 years old</w:t>
            </w:r>
          </w:p>
        </w:tc>
        <w:tc>
          <w:tcPr/>
          <w:p>
            <w:pPr>
              <w:numPr>
                <w:ilvl w:val="0"/>
                <w:numId w:val="1000"/>
              </w:numPr>
              <w:pStyle w:val="Compact"/>
              <w:jc w:val="left"/>
            </w:pPr>
            <w:r>
              <w:t xml:space="preserve">21</w:t>
            </w:r>
          </w:p>
        </w:tc>
        <w:tc>
          <w:tcPr/>
          <w:p>
            <w:pPr>
              <w:numPr>
                <w:ilvl w:val="0"/>
                <w:numId w:val="1000"/>
              </w:numPr>
              <w:pStyle w:val="Compact"/>
              <w:jc w:val="left"/>
            </w:pPr>
            <w:r>
              <w:t xml:space="preserve">48</w:t>
            </w:r>
          </w:p>
        </w:tc>
        <w:tc>
          <w:tcPr/>
          <w:p>
            <w:pPr>
              <w:numPr>
                <w:ilvl w:val="0"/>
                <w:numId w:val="1000"/>
              </w:numPr>
              <w:pStyle w:val="Compact"/>
              <w:jc w:val="left"/>
            </w:pPr>
            <w:r>
              <w:t xml:space="preserve">39</w:t>
            </w:r>
          </w:p>
        </w:tc>
        <w:tc>
          <w:tcPr/>
          <w:p>
            <w:pPr>
              <w:numPr>
                <w:ilvl w:val="0"/>
                <w:numId w:val="1000"/>
              </w:numPr>
              <w:pStyle w:val="Compact"/>
              <w:jc w:val="left"/>
            </w:pPr>
            <w:r>
              <w:t xml:space="preserve">108</w:t>
            </w:r>
          </w:p>
        </w:tc>
      </w:tr>
      <w:tr>
        <w:tc>
          <w:tcPr/>
          <w:p>
            <w:pPr>
              <w:numPr>
                <w:ilvl w:val="0"/>
                <w:numId w:val="1000"/>
              </w:numPr>
              <w:pStyle w:val="Compact"/>
              <w:jc w:val="left"/>
            </w:pPr>
            <w:r>
              <w:t xml:space="preserve">18–24 years old</w:t>
            </w:r>
          </w:p>
        </w:tc>
        <w:tc>
          <w:tcPr/>
          <w:p>
            <w:pPr>
              <w:numPr>
                <w:ilvl w:val="0"/>
                <w:numId w:val="1000"/>
              </w:numPr>
              <w:pStyle w:val="Compact"/>
              <w:jc w:val="left"/>
            </w:pPr>
            <w:r>
              <w:t xml:space="preserve">15</w:t>
            </w:r>
          </w:p>
        </w:tc>
        <w:tc>
          <w:tcPr/>
          <w:p>
            <w:pPr>
              <w:numPr>
                <w:ilvl w:val="0"/>
                <w:numId w:val="1000"/>
              </w:numPr>
              <w:pStyle w:val="Compact"/>
              <w:jc w:val="left"/>
            </w:pPr>
            <w:r>
              <w:t xml:space="preserve">54</w:t>
            </w:r>
          </w:p>
        </w:tc>
        <w:tc>
          <w:tcPr/>
          <w:p>
            <w:pPr>
              <w:numPr>
                <w:ilvl w:val="0"/>
                <w:numId w:val="1000"/>
              </w:numPr>
              <w:pStyle w:val="Compact"/>
              <w:jc w:val="left"/>
            </w:pPr>
            <w:r>
              <w:t xml:space="preserve">87</w:t>
            </w:r>
          </w:p>
        </w:tc>
        <w:tc>
          <w:tcPr/>
          <w:p>
            <w:pPr>
              <w:numPr>
                <w:ilvl w:val="0"/>
                <w:numId w:val="1000"/>
              </w:numPr>
              <w:pStyle w:val="Compact"/>
              <w:jc w:val="left"/>
            </w:pPr>
            <w:r>
              <w:t xml:space="preserve">156</w:t>
            </w:r>
          </w:p>
        </w:tc>
      </w:tr>
      <w:tr>
        <w:tc>
          <w:tcPr/>
          <w:p>
            <w:pPr>
              <w:numPr>
                <w:ilvl w:val="0"/>
                <w:numId w:val="1000"/>
              </w:numPr>
              <w:pStyle w:val="Compact"/>
              <w:jc w:val="left"/>
            </w:pPr>
            <w:r>
              <w:t xml:space="preserve">total</w:t>
            </w:r>
          </w:p>
        </w:tc>
        <w:tc>
          <w:tcPr/>
          <w:p>
            <w:pPr>
              <w:numPr>
                <w:ilvl w:val="0"/>
                <w:numId w:val="1000"/>
              </w:numPr>
              <w:pStyle w:val="Compact"/>
              <w:jc w:val="left"/>
            </w:pPr>
            <w:r>
              <w:t xml:space="preserve">57</w:t>
            </w:r>
          </w:p>
        </w:tc>
        <w:tc>
          <w:tcPr/>
          <w:p>
            <w:pPr>
              <w:numPr>
                <w:ilvl w:val="0"/>
                <w:numId w:val="1000"/>
              </w:numPr>
              <w:pStyle w:val="Compact"/>
              <w:jc w:val="left"/>
            </w:pPr>
            <w:r>
              <w:t xml:space="preserve">114</w:t>
            </w:r>
          </w:p>
        </w:tc>
        <w:tc>
          <w:tcPr/>
          <w:p>
            <w:pPr>
              <w:numPr>
                <w:ilvl w:val="0"/>
                <w:numId w:val="1000"/>
              </w:numPr>
              <w:pStyle w:val="Compact"/>
              <w:jc w:val="left"/>
            </w:pPr>
            <w:r>
              <w:t xml:space="preserve">129</w:t>
            </w:r>
          </w:p>
        </w:tc>
        <w:tc>
          <w:tcPr/>
          <w:p>
            <w:pPr>
              <w:numPr>
                <w:ilvl w:val="0"/>
                <w:numId w:val="1000"/>
              </w:numPr>
              <w:pStyle w:val="Compact"/>
              <w:jc w:val="left"/>
            </w:pPr>
            <w:r>
              <w:t xml:space="preserve">300</w:t>
            </w:r>
          </w:p>
        </w:tc>
      </w:tr>
    </w:tbl>
    <w:p>
      <w:pPr>
        <w:numPr>
          <w:ilvl w:val="0"/>
          <w:numId w:val="1000"/>
        </w:numPr>
      </w:pPr>
      <w:r>
        <w:t xml:space="preserve">Jada concludes that there is a possible association between age and shoe preference. Is Jada’s conclusion reasonable? Explain your reasoning.</w:t>
      </w:r>
    </w:p>
    <w:p>
      <w:pPr>
        <w:numPr>
          <w:ilvl w:val="0"/>
          <w:numId w:val="1002"/>
        </w:numPr>
      </w:pPr>
      <w:r>
        <w:t xml:space="preserve">The two-way table summarizes data on writing utensil preference and the dominant hand for a sample of 100 people.</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left-handed</w:t>
            </w:r>
          </w:p>
        </w:tc>
        <w:tc>
          <w:tcPr/>
          <w:p>
            <w:pPr>
              <w:numPr>
                <w:ilvl w:val="0"/>
                <w:numId w:val="1000"/>
              </w:numPr>
              <w:pStyle w:val="Compact"/>
              <w:jc w:val="left"/>
            </w:pPr>
            <w:r>
              <w:t xml:space="preserve">right-handed</w:t>
            </w:r>
          </w:p>
        </w:tc>
        <w:tc>
          <w:tcPr/>
          <w:p>
            <w:pPr>
              <w:numPr>
                <w:ilvl w:val="0"/>
                <w:numId w:val="1000"/>
              </w:numPr>
              <w:pStyle w:val="Compact"/>
              <w:jc w:val="left"/>
            </w:pPr>
            <w:r>
              <w:t xml:space="preserve">total</w:t>
            </w:r>
          </w:p>
        </w:tc>
      </w:tr>
      <w:tr>
        <w:tc>
          <w:tcPr/>
          <w:p>
            <w:pPr>
              <w:numPr>
                <w:ilvl w:val="0"/>
                <w:numId w:val="1000"/>
              </w:numPr>
              <w:pStyle w:val="Compact"/>
              <w:jc w:val="left"/>
            </w:pPr>
            <w:r>
              <w:t xml:space="preserve">prefers pen</w:t>
            </w:r>
          </w:p>
        </w:tc>
        <w:tc>
          <w:tcPr/>
          <w:p>
            <w:pPr>
              <w:numPr>
                <w:ilvl w:val="0"/>
                <w:numId w:val="1000"/>
              </w:numPr>
              <w:pStyle w:val="Compact"/>
              <w:jc w:val="left"/>
            </w:pPr>
            <w:r>
              <w:t xml:space="preserve">7</w:t>
            </w:r>
          </w:p>
        </w:tc>
        <w:tc>
          <w:tcPr/>
          <w:p>
            <w:pPr>
              <w:numPr>
                <w:ilvl w:val="0"/>
                <w:numId w:val="1000"/>
              </w:numPr>
              <w:pStyle w:val="Compact"/>
              <w:jc w:val="left"/>
            </w:pPr>
            <w:r>
              <w:t xml:space="preserve">82</w:t>
            </w:r>
          </w:p>
        </w:tc>
        <w:tc>
          <w:tcPr/>
          <w:p>
            <w:pPr>
              <w:numPr>
                <w:ilvl w:val="0"/>
                <w:numId w:val="1000"/>
              </w:numPr>
              <w:pStyle w:val="Compact"/>
              <w:jc w:val="left"/>
            </w:pPr>
            <w:r>
              <w:t xml:space="preserve">89</w:t>
            </w:r>
          </w:p>
        </w:tc>
      </w:tr>
      <w:tr>
        <w:tc>
          <w:tcPr/>
          <w:p>
            <w:pPr>
              <w:numPr>
                <w:ilvl w:val="0"/>
                <w:numId w:val="1000"/>
              </w:numPr>
              <w:pStyle w:val="Compact"/>
              <w:jc w:val="left"/>
            </w:pPr>
            <w:r>
              <w:t xml:space="preserve">prefers pencil</w:t>
            </w:r>
          </w:p>
        </w:tc>
        <w:tc>
          <w:tcPr/>
          <w:p>
            <w:pPr>
              <w:numPr>
                <w:ilvl w:val="0"/>
                <w:numId w:val="1000"/>
              </w:numPr>
              <w:pStyle w:val="Compact"/>
              <w:jc w:val="left"/>
            </w:pPr>
            <w:r>
              <w:t xml:space="preserve">6</w:t>
            </w:r>
          </w:p>
        </w:tc>
        <w:tc>
          <w:tcPr/>
          <w:p>
            <w:pPr>
              <w:numPr>
                <w:ilvl w:val="0"/>
                <w:numId w:val="1000"/>
              </w:numPr>
              <w:pStyle w:val="Compact"/>
              <w:jc w:val="left"/>
            </w:pPr>
            <w:r>
              <w:t xml:space="preserve">5</w:t>
            </w:r>
          </w:p>
        </w:tc>
        <w:tc>
          <w:tcPr/>
          <w:p>
            <w:pPr>
              <w:numPr>
                <w:ilvl w:val="0"/>
                <w:numId w:val="1000"/>
              </w:numPr>
              <w:pStyle w:val="Compact"/>
              <w:jc w:val="left"/>
            </w:pPr>
            <w:r>
              <w:t xml:space="preserve">11</w:t>
            </w:r>
          </w:p>
        </w:tc>
      </w:tr>
      <w:tr>
        <w:tc>
          <w:tcPr/>
          <w:p>
            <w:pPr>
              <w:numPr>
                <w:ilvl w:val="0"/>
                <w:numId w:val="1000"/>
              </w:numPr>
              <w:pStyle w:val="Compact"/>
              <w:jc w:val="left"/>
            </w:pPr>
            <w:r>
              <w:t xml:space="preserve">total</w:t>
            </w:r>
          </w:p>
        </w:tc>
        <w:tc>
          <w:tcPr/>
          <w:p>
            <w:pPr>
              <w:numPr>
                <w:ilvl w:val="0"/>
                <w:numId w:val="1000"/>
              </w:numPr>
              <w:pStyle w:val="Compact"/>
              <w:jc w:val="left"/>
            </w:pPr>
            <w:r>
              <w:t xml:space="preserve">13</w:t>
            </w:r>
          </w:p>
        </w:tc>
        <w:tc>
          <w:tcPr/>
          <w:p>
            <w:pPr>
              <w:numPr>
                <w:ilvl w:val="0"/>
                <w:numId w:val="1000"/>
              </w:numPr>
              <w:pStyle w:val="Compact"/>
              <w:jc w:val="left"/>
            </w:pPr>
            <w:r>
              <w:t xml:space="preserve">87</w:t>
            </w:r>
          </w:p>
        </w:tc>
        <w:tc>
          <w:tcPr/>
          <w:p>
            <w:pPr>
              <w:numPr>
                <w:ilvl w:val="0"/>
                <w:numId w:val="1000"/>
              </w:numPr>
              <w:pStyle w:val="Compact"/>
              <w:jc w:val="left"/>
            </w:pPr>
            <w:r>
              <w:t xml:space="preserve">100</w:t>
            </w:r>
          </w:p>
        </w:tc>
      </w:tr>
    </w:tbl>
    <w:p>
      <w:pPr>
        <w:numPr>
          <w:ilvl w:val="0"/>
          <w:numId w:val="1000"/>
        </w:numPr>
      </w:pPr>
      <w:r>
        <w:t xml:space="preserve">Is there a possible association between dominant hand and writing utensil preference? Explain your reasoning.</w:t>
      </w:r>
    </w:p>
    <w:bookmarkEnd w:id="26"/>
    <w:bookmarkEnd w:id="27"/>
    <w:bookmarkStart w:id="32" w:name="associating-your-own-variables"/>
    <w:p>
      <w:pPr>
        <w:pStyle w:val="Heading3"/>
      </w:pPr>
      <w:r>
        <w:t xml:space="preserve">3 Associating Your Own Variables</w:t>
      </w:r>
    </w:p>
    <w:bookmarkStart w:id="31" w:name="student-task-statement-2"/>
    <w:p>
      <w:pPr>
        <w:pStyle w:val="Heading4"/>
      </w:pPr>
      <w:r>
        <w:t xml:space="preserve">Student Task Statement</w:t>
      </w:r>
    </w:p>
    <w:p>
      <w:pPr>
        <w:numPr>
          <w:ilvl w:val="0"/>
          <w:numId w:val="1004"/>
        </w:numPr>
        <w:pStyle w:val="Compact"/>
      </w:pPr>
      <w:r>
        <w:t xml:space="preserve">Work with your group to identify a pair of categorical variables you think might be associated and another pair you think would not be associated.</w:t>
      </w:r>
    </w:p>
    <w:p>
      <w:pPr>
        <w:numPr>
          <w:ilvl w:val="0"/>
          <w:numId w:val="1004"/>
        </w:numPr>
        <w:pStyle w:val="Compact"/>
      </w:pPr>
      <w:r>
        <w:t xml:space="preserve">Imagine your group collected data for each pair of categorical variables. Create a two-way table that could represent each set of data. Invent some data with 100 total values to complete each table. Remember that one table shows a possible association, and the other table shows no association.</w:t>
      </w:r>
    </w:p>
    <w:p>
      <w:pPr>
        <w:numPr>
          <w:ilvl w:val="0"/>
          <w:numId w:val="1004"/>
        </w:numPr>
        <w:pStyle w:val="Compact"/>
      </w:pPr>
      <w:r>
        <w:t xml:space="preserve">Explain or show why there appears to be an association for the first pair of variables and why there appears to be no association for the other pair of variables.</w:t>
      </w:r>
    </w:p>
    <w:p>
      <w:pPr>
        <w:numPr>
          <w:ilvl w:val="0"/>
          <w:numId w:val="1004"/>
        </w:numPr>
        <w:pStyle w:val="Compact"/>
      </w:pPr>
      <w:r>
        <w:t xml:space="preserve">Prepare a display of your work to share.</w:t>
      </w:r>
    </w:p>
    <w:p>
      <w:pPr>
        <w:pStyle w:val="FirstParagraph"/>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1"/>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3" Target="media/rId23.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2022-12-14T04:53:04Z</dcterms:created>
  <dcterms:modified xsi:type="dcterms:W3CDTF">2022-12-14T04:53:04Z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f719Uok8wNzMRF6GtWA79LY4NMF3MeAU2GxiwR1g4SBbuTgL5bQ4gQmg/ZjkBBecj9BNR2O7vQ9d5oexaW/ifQ==</vt:lpwstr>
  </property>
</Properties>
</file>