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las-figuras-en-el-arte"/>
    <w:p>
      <w:pPr>
        <w:pStyle w:val="Heading2"/>
      </w:pPr>
      <w:r>
        <w:t xml:space="preserve">Lección 14: Las figuras en el arte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figuras en el arte y usemos figuras para crear nuestras propias obras de arte.</w:t>
      </w:r>
    </w:p>
    <w:bookmarkStart w:id="24" w:name="X174197382204296adc508358aa5bcdda9df6693"/>
    <w:p>
      <w:pPr>
        <w:pStyle w:val="Heading3"/>
      </w:pPr>
      <w:r>
        <w:t xml:space="preserve">Calentamiento: Observa y pregúntate: Las figuras en el arte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791200" cy="9080500"/>
            <wp:effectExtent b="0" l="0" r="0" t="0"/>
            <wp:docPr descr="Painting. Many shapes and colors. Some look like pattern blocks, letters, table, bowl of cereal. " title="" id="22" name="Picture"/>
            <a:graphic>
              <a:graphicData uri="http://schemas.openxmlformats.org/drawingml/2006/picture">
                <pic:pic>
                  <pic:nvPicPr>
                    <pic:cNvPr descr="/app/tmp/embedder-1671057075.4534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08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centros-momento-de-escoger"/>
    <w:p>
      <w:pPr>
        <w:pStyle w:val="Heading3"/>
      </w:pPr>
      <w:r>
        <w:t xml:space="preserve">14.3: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26" name="Picture"/>
            <a:graphic>
              <a:graphicData uri="http://schemas.openxmlformats.org/drawingml/2006/picture">
                <pic:pic>
                  <pic:nvPicPr>
                    <pic:cNvPr descr="/app/tmp/embedder-1671057075.5180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7075.68704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32" name="Picture"/>
            <a:graphic>
              <a:graphicData uri="http://schemas.openxmlformats.org/drawingml/2006/picture">
                <pic:pic>
                  <pic:nvPicPr>
                    <pic:cNvPr descr="/app/tmp/embedder-1671057075.733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35" name="Picture"/>
            <a:graphic>
              <a:graphicData uri="http://schemas.openxmlformats.org/drawingml/2006/picture">
                <pic:pic>
                  <pic:nvPicPr>
                    <pic:cNvPr descr="/app/tmp/embedder-1671057075.75666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38" name="Picture"/>
            <a:graphic>
              <a:graphicData uri="http://schemas.openxmlformats.org/drawingml/2006/picture">
                <pic:pic>
                  <pic:nvPicPr>
                    <pic:cNvPr descr="/app/tmp/embedder-1671057075.843745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juntamos figuras para formar figuras más grandes.</w:t>
      </w:r>
      <w:r>
        <w:br/>
      </w:r>
      <w:r>
        <w:t xml:space="preserve">Algunas veces usamos figuras para formar otras figuras.</w:t>
      </w:r>
    </w:p>
    <w:p>
      <w:pPr>
        <w:pStyle w:val="BodyText"/>
      </w:pPr>
      <w:r>
        <w:drawing>
          <wp:inline>
            <wp:extent cx="1920239" cy="1737372"/>
            <wp:effectExtent b="0" l="0" r="0" t="0"/>
            <wp:docPr descr="Shapes put together to make a hexagon. Blue pattern blocks, 2. Green pattern blocks, 2." title="" id="42" name="Picture"/>
            <a:graphic>
              <a:graphicData uri="http://schemas.openxmlformats.org/drawingml/2006/picture">
                <pic:pic>
                  <pic:nvPicPr>
                    <pic:cNvPr descr="/app/tmp/embedder-1671057076.110705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Algunas veces usamos figuras para hacer cosas de la vida real.</w:t>
      </w:r>
    </w:p>
    <w:p>
      <w:pPr>
        <w:pStyle w:val="BodyText"/>
      </w:pPr>
      <w:r>
        <w:drawing>
          <wp:inline>
            <wp:extent cx="2229954" cy="408592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7076.187466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954" cy="408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Aprendimos que la misma figura se puede ver diferente si la movemos.</w:t>
      </w:r>
    </w:p>
    <w:p>
      <w:pPr>
        <w:pStyle w:val="BodyText"/>
      </w:pPr>
      <w:r>
        <w:drawing>
          <wp:inline>
            <wp:extent cx="4457700" cy="3657600"/>
            <wp:effectExtent b="0" l="0" r="0" t="0"/>
            <wp:docPr descr="Pattern block puzzle." title="" id="48" name="Picture"/>
            <a:graphic>
              <a:graphicData uri="http://schemas.openxmlformats.org/drawingml/2006/picture">
                <pic:pic>
                  <pic:nvPicPr>
                    <pic:cNvPr descr="/app/tmp/embedder-1671057076.278556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figura que hace falta es el cuadrado, pero se ve diferente porque está girado.</w:t>
      </w:r>
    </w:p>
    <w:p>
      <w:pPr>
        <w:pStyle w:val="BodyText"/>
      </w:pPr>
      <w:r>
        <w:t xml:space="preserve">También usamos palabras como “encima”, “debajo”, “al lado de” y “junto a” para describir dónde están las figuras.</w:t>
      </w:r>
    </w:p>
    <w:p>
      <w:pPr>
        <w:pStyle w:val="BodyText"/>
      </w:pPr>
      <w:r>
        <w:t xml:space="preserve">El triángulo verde está junto al trapecio rojo.</w:t>
      </w:r>
      <w:r>
        <w:br/>
      </w:r>
      <w:r>
        <w:t xml:space="preserve">El triángulo verde está encima del rombo azul.</w:t>
      </w:r>
      <w:r>
        <w:br/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2022-12-14T22:31:17Z</dcterms:created>
  <dcterms:modified xsi:type="dcterms:W3CDTF">2022-12-14T22:31:17Z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suF49fYnRErr4Uyhmj9Ew3UAjWmop/wOjeTsT73sPI6W5T2smq+8Fy4F77/LW2irTOj077wtoRUIbgk/yeM/0w==</vt:lpwstr>
  </property>
</Properties>
</file>