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formas-de-comparar-fracciones"/>
    <w:p>
      <w:pPr>
        <w:pStyle w:val="Heading1"/>
      </w:pPr>
      <w:r>
        <w:t xml:space="preserve">Lesson 12: Formas de comparar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Addressing</w:t>
            </w:r>
          </w:p>
        </w:tc>
        <w:tc>
          <w:tcPr/>
          <w:p>
            <w:pPr>
              <w:pStyle w:val="Compact"/>
              <w:jc w:val="left"/>
            </w:pPr>
            <w:r>
              <w:t xml:space="preserve">4.NF.A.2</w:t>
            </w:r>
          </w:p>
        </w:tc>
      </w:tr>
      <w:tr>
        <w:tc>
          <w:tcPr/>
          <w:p>
            <w:pPr>
              <w:pStyle w:val="Compact"/>
              <w:jc w:val="left"/>
            </w:pPr>
            <w:r>
              <w:t xml:space="preserve">Building Towards</w:t>
            </w:r>
          </w:p>
        </w:tc>
        <w:tc>
          <w:tcPr/>
          <w:p>
            <w:pPr>
              <w:pStyle w:val="Compact"/>
              <w:jc w:val="left"/>
            </w:pPr>
            <w:r>
              <w:t xml:space="preserve">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fractions using methods that make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fracciones.</w:t>
      </w:r>
    </w:p>
    <w:bookmarkEnd w:id="25"/>
    <w:bookmarkStart w:id="26" w:name="lesson-purpose"/>
    <w:p>
      <w:pPr>
        <w:pStyle w:val="Heading3"/>
      </w:pPr>
      <w:r>
        <w:t xml:space="preserve">Lesson Purpose</w:t>
      </w:r>
    </w:p>
    <w:p>
      <w:pPr>
        <w:pStyle w:val="FirstParagraph"/>
      </w:pPr>
      <w:r>
        <w:t xml:space="preserve">The purpose of this lesson is for students to compare fractions in a way that makes sense to them, including by reasoning about the size of fractional parts, common numerators or denominators, or relationships to benchmarks such as</w:t>
      </w:r>
      <w:r>
        <w:t xml:space="preserve"> </w:t>
      </w:r>
      <m:oMath>
        <m:f>
          <m:fPr>
            <m:type m:val="bar"/>
          </m:fPr>
          <m:num>
            <m:r>
              <m:t>1</m:t>
            </m:r>
          </m:num>
          <m:den>
            <m:r>
              <m:t>2</m:t>
            </m:r>
          </m:den>
        </m:f>
      </m:oMath>
      <w:r>
        <w:t xml:space="preserve"> </w:t>
      </w:r>
      <w:r>
        <w:t xml:space="preserve">and 1.</w:t>
      </w:r>
    </w:p>
    <w:p>
      <w:pPr>
        <w:pStyle w:val="BodyText"/>
      </w:pPr>
      <w:r>
        <w:t xml:space="preserve">Previously, students have investigated the relative sizes of fractions with the same numerator or denominator. They have also compared fractions to</w:t>
      </w:r>
      <w:r>
        <w:t xml:space="preserve"> </w:t>
      </w:r>
      <m:oMath>
        <m:f>
          <m:fPr>
            <m:type m:val="bar"/>
          </m:fPr>
          <m:num>
            <m:r>
              <m:t>1</m:t>
            </m:r>
          </m:num>
          <m:den>
            <m:r>
              <m:t>2</m:t>
            </m:r>
          </m:den>
        </m:f>
      </m:oMath>
      <w:r>
        <w:t xml:space="preserve"> </w:t>
      </w:r>
      <w:r>
        <w:t xml:space="preserve">and 1. In this lesson, they apply those understandings to compare a wider range of fractions.</w:t>
      </w:r>
    </w:p>
    <w:p>
      <w:pPr>
        <w:pStyle w:val="BodyText"/>
      </w:pPr>
      <w:r>
        <w:t xml:space="preserve">Some students may make comparisons by writing equivalent fractions, which shows they are applying learning from earlier in the unit. It is not necessary to highlight this approach at this point, however. In the next lesson, students will take a closer look at how equivalence can be used to compare fractions.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questions did you ask today that were effective in prompting students to compare the size of fractions strategically or structurally? Which ones might have pushed them toward a particular method or process?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Escoge la mayor fracción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4"/>
    <w:bookmarkStart w:id="45" w:name="student-facing-task-statement"/>
    <w:p>
      <w:pPr>
        <w:pStyle w:val="Heading3"/>
      </w:pPr>
      <w:r>
        <w:t xml:space="preserve">Student-facing Task Statement</w:t>
      </w:r>
    </w:p>
    <w:p>
      <w:pPr>
        <w:pStyle w:val="FirstParagraph"/>
      </w:pPr>
      <w:r>
        <w:t xml:space="preserve">¿Cuál fracción es mayor en cada pareja de fracciones? Explica o muestra tu razonamiento.</w:t>
      </w:r>
    </w:p>
    <w:p>
      <w:pPr>
        <w:numPr>
          <w:ilvl w:val="0"/>
          <w:numId w:val="1006"/>
        </w:numPr>
        <w:pStyle w:val="Compact"/>
      </w:pPr>
      <m:oMath>
        <m:f>
          <m:fPr>
            <m:type m:val="bar"/>
          </m:fPr>
          <m:num>
            <m:r>
              <m:t>5</m:t>
            </m:r>
          </m:num>
          <m:den>
            <m:r>
              <m:t>12</m:t>
            </m:r>
          </m:den>
        </m:f>
      </m:oMath>
      <w:r>
        <w:t xml:space="preserve"> y </w:t>
      </w:r>
      <m:oMath>
        <m:f>
          <m:fPr>
            <m:type m:val="bar"/>
          </m:fPr>
          <m:num>
            <m:r>
              <m:t>5</m:t>
            </m:r>
          </m:num>
          <m:den>
            <m:r>
              <m:t>8</m:t>
            </m:r>
          </m:den>
        </m:f>
      </m:oMath>
    </w:p>
    <w:p>
      <w:pPr>
        <w:numPr>
          <w:ilvl w:val="0"/>
          <w:numId w:val="1006"/>
        </w:numPr>
        <w:pStyle w:val="Compact"/>
      </w:pPr>
      <m:oMath>
        <m:f>
          <m:fPr>
            <m:type m:val="bar"/>
          </m:fPr>
          <m:num>
            <m:r>
              <m:t>11</m:t>
            </m:r>
          </m:num>
          <m:den>
            <m:r>
              <m:t>10</m:t>
            </m:r>
          </m:den>
        </m:f>
      </m:oMath>
      <w:r>
        <w:t xml:space="preserve"> y </w:t>
      </w:r>
      <m:oMath>
        <m:f>
          <m:fPr>
            <m:type m:val="bar"/>
          </m:fPr>
          <m:num>
            <m:r>
              <m:t>18</m:t>
            </m:r>
          </m:num>
          <m:den>
            <m:r>
              <m:t>100</m:t>
            </m:r>
          </m:den>
        </m:f>
      </m:oMath>
    </w:p>
    <w:p>
      <w:pPr>
        <w:numPr>
          <w:ilvl w:val="0"/>
          <w:numId w:val="1006"/>
        </w:numPr>
        <w:pStyle w:val="Compact"/>
      </w:pPr>
      <m:oMath>
        <m:f>
          <m:fPr>
            <m:type m:val="bar"/>
          </m:fPr>
          <m:num>
            <m:r>
              <m:t>6</m:t>
            </m:r>
          </m:num>
          <m:den>
            <m:r>
              <m:t>10</m:t>
            </m:r>
          </m:den>
        </m:f>
      </m:oMath>
      <w:r>
        <w:t xml:space="preserve"> y </w:t>
      </w:r>
      <m:oMath>
        <m:f>
          <m:fPr>
            <m:type m:val="bar"/>
          </m:fPr>
          <m:num>
            <m:r>
              <m:t>7</m:t>
            </m:r>
          </m:num>
          <m:den>
            <m:r>
              <m:t>12</m:t>
            </m:r>
          </m:den>
        </m:f>
      </m:oMath>
    </w:p>
    <w:bookmarkEnd w:id="45"/>
    <w:bookmarkStart w:id="46" w:name="student-responses"/>
    <w:p>
      <w:pPr>
        <w:pStyle w:val="Heading3"/>
      </w:pPr>
      <w:r>
        <w:t xml:space="preserve">Student Responses</w:t>
      </w:r>
    </w:p>
    <w:p>
      <w:pPr>
        <w:numPr>
          <w:ilvl w:val="0"/>
          <w:numId w:val="1007"/>
        </w:numPr>
        <w:pStyle w:val="Compact"/>
      </w:pPr>
      <m:oMath>
        <m:f>
          <m:fPr>
            <m:type m:val="bar"/>
          </m:fPr>
          <m:num>
            <m:r>
              <m:t>5</m:t>
            </m:r>
          </m:num>
          <m:den>
            <m:r>
              <m:t>8</m:t>
            </m:r>
          </m:den>
        </m:f>
      </m:oMath>
      <w:r>
        <w:t xml:space="preserve">. Sample reasoning: 1 eighth is greater than 1 twelfth, so 5 eighths is greater than 5 twelfths.</w:t>
      </w:r>
    </w:p>
    <w:p>
      <w:pPr>
        <w:numPr>
          <w:ilvl w:val="0"/>
          <w:numId w:val="1007"/>
        </w:numPr>
        <w:pStyle w:val="Compact"/>
      </w:pPr>
      <m:oMath>
        <m:f>
          <m:fPr>
            <m:type m:val="bar"/>
          </m:fPr>
          <m:num>
            <m:r>
              <m:t>11</m:t>
            </m:r>
          </m:num>
          <m:den>
            <m:r>
              <m:t>10</m:t>
            </m:r>
          </m:den>
        </m:f>
      </m:oMath>
      <w:r>
        <w:t xml:space="preserve">. Sample reasoning:</w:t>
      </w:r>
      <w:r>
        <w:t xml:space="preserve"> </w:t>
      </w:r>
      <m:oMath>
        <m:f>
          <m:fPr>
            <m:type m:val="bar"/>
          </m:fPr>
          <m:num>
            <m:r>
              <m:t>11</m:t>
            </m:r>
          </m:num>
          <m:den>
            <m:r>
              <m:t>10</m:t>
            </m:r>
          </m:den>
        </m:f>
      </m:oMath>
      <w:r>
        <w:t xml:space="preserve"> </w:t>
      </w:r>
      <w:r>
        <w:t xml:space="preserve">is greater than 1, and</w:t>
      </w:r>
      <w:r>
        <w:t xml:space="preserve"> </w:t>
      </w:r>
      <m:oMath>
        <m:f>
          <m:fPr>
            <m:type m:val="bar"/>
          </m:fPr>
          <m:num>
            <m:r>
              <m:t>18</m:t>
            </m:r>
          </m:num>
          <m:den>
            <m:r>
              <m:t>100</m:t>
            </m:r>
          </m:den>
        </m:f>
      </m:oMath>
      <w:r>
        <w:t xml:space="preserve"> </w:t>
      </w:r>
      <w:r>
        <w:t xml:space="preserve">is less than 1.</w:t>
      </w:r>
    </w:p>
    <w:p>
      <w:pPr>
        <w:numPr>
          <w:ilvl w:val="0"/>
          <w:numId w:val="1007"/>
        </w:numPr>
        <w:pStyle w:val="Compact"/>
      </w:pPr>
      <m:oMath>
        <m:f>
          <m:fPr>
            <m:type m:val="bar"/>
          </m:fPr>
          <m:num>
            <m:r>
              <m:t>6</m:t>
            </m:r>
          </m:num>
          <m:den>
            <m:r>
              <m:t>10</m:t>
            </m:r>
          </m:den>
        </m:f>
      </m:oMath>
      <w:r>
        <w:t xml:space="preserve">. Sample reasoning:</w:t>
      </w:r>
      <w:r>
        <w:t xml:space="preserve"> </w:t>
      </w:r>
      <m:oMath>
        <m:f>
          <m:fPr>
            <m:type m:val="bar"/>
          </m:fPr>
          <m:num>
            <m:r>
              <m:t>7</m:t>
            </m:r>
          </m:num>
          <m:den>
            <m:r>
              <m:t>12</m:t>
            </m:r>
          </m:den>
        </m:f>
      </m:oMath>
      <w:r>
        <w:t xml:space="preserve"> </w:t>
      </w:r>
      <w:r>
        <w:t xml:space="preserve">is</w:t>
      </w:r>
      <w:r>
        <w:t xml:space="preserve"> </w:t>
      </w:r>
      <m:oMath>
        <m:f>
          <m:fPr>
            <m:type m:val="bar"/>
          </m:fPr>
          <m:num>
            <m:r>
              <m:t>1</m:t>
            </m:r>
          </m:num>
          <m:den>
            <m:r>
              <m:t>12</m:t>
            </m:r>
          </m:den>
        </m:f>
      </m:oMath>
      <w:r>
        <w:t xml:space="preserve"> </w:t>
      </w:r>
      <w:r>
        <w:t xml:space="preserve">more than</w:t>
      </w:r>
      <w:r>
        <w:t xml:space="preserve"> </w:t>
      </w:r>
      <m:oMath>
        <m:f>
          <m:fPr>
            <m:type m:val="bar"/>
          </m:fPr>
          <m:num>
            <m:r>
              <m:t>1</m:t>
            </m:r>
          </m:num>
          <m:den>
            <m:r>
              <m:t>2</m:t>
            </m:r>
          </m:den>
        </m:f>
      </m:oMath>
      <w:r>
        <w:t xml:space="preserve">, and</w:t>
      </w:r>
      <w:r>
        <w:t xml:space="preserve"> </w:t>
      </w:r>
      <m:oMath>
        <m:f>
          <m:fPr>
            <m:type m:val="bar"/>
          </m:fPr>
          <m:num>
            <m:r>
              <m:t>6</m:t>
            </m:r>
          </m:num>
          <m:den>
            <m:r>
              <m:t>10</m:t>
            </m:r>
          </m:den>
        </m:f>
      </m:oMath>
      <w:r>
        <w:t xml:space="preserve"> </w:t>
      </w:r>
      <w:r>
        <w:t xml:space="preserve">is</w:t>
      </w:r>
      <w:r>
        <w:t xml:space="preserve"> </w:t>
      </w:r>
      <m:oMath>
        <m:f>
          <m:fPr>
            <m:type m:val="bar"/>
          </m:fPr>
          <m:num>
            <m:r>
              <m:t>1</m:t>
            </m:r>
          </m:num>
          <m:den>
            <m:r>
              <m:t>10</m:t>
            </m:r>
          </m:den>
        </m:f>
      </m:oMath>
      <w:r>
        <w:t xml:space="preserve"> </w:t>
      </w:r>
      <w:r>
        <w:t xml:space="preserve">more than</w:t>
      </w:r>
      <w:r>
        <w:t xml:space="preserve"> </w:t>
      </w:r>
      <m:oMath>
        <m:f>
          <m:fPr>
            <m:type m:val="bar"/>
          </m:fPr>
          <m:num>
            <m:r>
              <m:t>1</m:t>
            </m:r>
          </m:num>
          <m:den>
            <m:r>
              <m:t>2</m:t>
            </m:r>
          </m:den>
        </m:f>
      </m:oMath>
      <w:r>
        <w:t xml:space="preserve">.</w:t>
      </w:r>
      <w:r>
        <w:t xml:space="preserve"> </w:t>
      </w:r>
      <m:oMath>
        <m:f>
          <m:fPr>
            <m:type m:val="bar"/>
          </m:fPr>
          <m:num>
            <m:r>
              <m:t>1</m:t>
            </m:r>
          </m:num>
          <m:den>
            <m:r>
              <m:t>10</m:t>
            </m:r>
          </m:den>
        </m:f>
      </m:oMath>
      <w:r>
        <w:t xml:space="preserve"> </w:t>
      </w:r>
      <w:r>
        <w:t xml:space="preserve">is greater than</w:t>
      </w:r>
      <w:r>
        <w:t xml:space="preserve"> </w:t>
      </w:r>
      <m:oMath>
        <m:f>
          <m:fPr>
            <m:type m:val="bar"/>
          </m:fPr>
          <m:num>
            <m:r>
              <m:t>1</m:t>
            </m:r>
          </m:num>
          <m:den>
            <m:r>
              <m:t>12</m:t>
            </m:r>
          </m:den>
        </m:f>
      </m:oMath>
      <w:r>
        <w:t xml:space="preserve">, so</w:t>
      </w:r>
      <w:r>
        <w:t xml:space="preserve"> </w:t>
      </w:r>
      <m:oMath>
        <m:f>
          <m:fPr>
            <m:type m:val="bar"/>
          </m:fPr>
          <m:num>
            <m:r>
              <m:t>6</m:t>
            </m:r>
          </m:num>
          <m:den>
            <m:r>
              <m:t>10</m:t>
            </m:r>
          </m:den>
        </m:f>
      </m:oMath>
      <w:r>
        <w:t xml:space="preserve"> </w:t>
      </w:r>
      <w:r>
        <w:t xml:space="preserve">is greater.</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2022-12-15T00:17:10Z</dcterms:created>
  <dcterms:modified xsi:type="dcterms:W3CDTF">2022-12-15T00:17:10Z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yS13UyyiKzq76QPQw3Eke7pFma54Q94lC0N7HQ76o9XtKTIKQCrTZ34NoM6SFQgTg63gKGzJgz6OyZ5tevWgiA==</vt:lpwstr>
  </property>
</Properties>
</file>