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1, Lesson 12</w:t>
      </w:r>
    </w:p>
    <w:bookmarkStart w:id="31" w:name="lesson-543113"/>
    <w:p>
      <w:pPr>
        <w:pStyle w:val="Heading1"/>
      </w:pPr>
      <w:r>
        <w:t xml:space="preserve">Center Day 2</w:t>
      </w:r>
    </w:p>
    <w:p>
      <w:pPr>
        <w:numPr>
          <w:ilvl w:val="0"/>
          <w:numId w:val="1001"/>
        </w:numPr>
        <w:pStyle w:val="Compact"/>
      </w:pPr>
      <w:r>
        <w:t xml:space="preserve">Let’s sort a collection and make graphs about it.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12</w:t>
      </w:r>
      <w:r>
        <w:t xml:space="preserve">CC BY NC 2024 Illustrative Mathematics®</w:t>
      </w:r>
    </w:p>
    <w:bookmarkStart w:id="20" w:name="activity-543114"/>
    <w:p>
      <w:pPr>
        <w:pStyle w:val="Heading2"/>
      </w:pPr>
      <w:r>
        <w:t xml:space="preserve">Warm-up</w:t>
      </w:r>
      <w:r>
        <w:t xml:space="preserve">Number Talk: Differences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12</w:t>
      </w:r>
      <w:r>
        <w:t xml:space="preserve">CC BY NC 2024 Illustrative Mathematics®</w:t>
      </w:r>
    </w:p>
    <w:bookmarkStart w:id="30" w:name="activity-543117"/>
    <w:p>
      <w:pPr>
        <w:pStyle w:val="Heading2"/>
      </w:pPr>
      <w:r>
        <w:t xml:space="preserve">Activity 2</w:t>
      </w:r>
      <w:r>
        <w:t xml:space="preserve">Centers: Choice Time</w:t>
      </w:r>
      <w:r>
        <w:t xml:space="preserve"> 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2" name="Picture"/>
            <a:graphic>
              <a:graphicData uri="http://schemas.openxmlformats.org/drawingml/2006/picture">
                <pic:pic>
                  <pic:nvPicPr>
                    <pic:cNvPr descr="/app/tmp/embedder-1732020198.845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5" name="Picture"/>
            <a:graphic>
              <a:graphicData uri="http://schemas.openxmlformats.org/drawingml/2006/picture">
                <pic:pic>
                  <pic:nvPicPr>
                    <pic:cNvPr descr="/app/tmp/embedder-1732020198.9022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8" name="Picture"/>
            <a:graphic>
              <a:graphicData uri="http://schemas.openxmlformats.org/drawingml/2006/picture">
                <pic:pic>
                  <pic:nvPicPr>
                    <pic:cNvPr descr="/app/tmp/embedder-1732020198.98824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2024-11-19T12:43:19Z</dcterms:created>
  <dcterms:modified xsi:type="dcterms:W3CDTF">2024-11-19T12:43:19Z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