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10</w:t>
      </w:r>
      <w:r>
        <w:t xml:space="preserve">CC BY NC 2024 Illustrative Mathematics®</w:t>
      </w:r>
    </w:p>
    <w:p>
      <w:pPr>
        <w:pStyle w:val="BodyText"/>
      </w:pPr>
      <w:r>
        <w:t xml:space="preserve">Unit 6, Lesson 10</w:t>
      </w:r>
    </w:p>
    <w:bookmarkStart w:id="31" w:name="lesson-484357"/>
    <w:p>
      <w:pPr>
        <w:pStyle w:val="Heading1"/>
      </w:pPr>
      <w:r>
        <w:t xml:space="preserve">Looking at Rates of Change</w:t>
      </w:r>
    </w:p>
    <w:p>
      <w:pPr>
        <w:pStyle w:val="FirstParagraph"/>
      </w:pPr>
      <w:r>
        <w:t xml:space="preserve">Let's calculate average rates of change for exponential functions.</w:t>
      </w:r>
    </w:p>
    <w:p>
      <w:pPr>
        <w:pStyle w:val="BodyText"/>
      </w:pPr>
      <w:r>
        <w:t xml:space="preserve"> </w:t>
      </w:r>
      <w:r>
        <w:t xml:space="preserve">Algebra 1</w:t>
      </w:r>
      <w:r>
        <w:br/>
      </w:r>
      <w:r>
        <w:t xml:space="preserve">Unit 6</w:t>
      </w:r>
      <w:r>
        <w:t xml:space="preserve">Lesson 10</w:t>
      </w:r>
      <w:r>
        <w:t xml:space="preserve">CC BY NC 2024 Illustrative Mathematics®</w:t>
      </w:r>
    </w:p>
    <w:bookmarkStart w:id="20" w:name="activity-484379"/>
    <w:p>
      <w:pPr>
        <w:pStyle w:val="Heading2"/>
      </w:pPr>
      <w:r>
        <w:t xml:space="preserve">10.1</w:t>
      </w:r>
      <w:r>
        <w:t xml:space="preserve">Falling Prices</w:t>
      </w:r>
    </w:p>
    <w:p>
      <w:pPr>
        <w:pStyle w:val="FirstParagraph"/>
      </w:pPr>
      <w:r>
        <w:t xml:space="preserve">Let</w:t>
      </w:r>
      <w:r>
        <w:t xml:space="preserve"> </w:t>
      </w:r>
      <m:oMath>
        <m:r>
          <m:t>p</m:t>
        </m:r>
      </m:oMath>
      <w:r>
        <w:t xml:space="preserve"> </w:t>
      </w:r>
      <w:r>
        <w:t xml:space="preserve">be the function that gives the cost </w:t>
      </w:r>
      <m:oMath>
        <m:r>
          <m:t>p</m:t>
        </m:r>
        <m:d>
          <m:dPr>
            <m:begChr m:val="("/>
            <m:endChr m:val=")"/>
            <m:sepChr m:val=""/>
            <m:grow/>
          </m:dPr>
          <m:e>
            <m:r>
              <m:t>t</m:t>
            </m:r>
          </m:e>
        </m:d>
      </m:oMath>
      <w:r>
        <w:t xml:space="preserve">, in dollars, of producing 1 watt of solar energy</w:t>
      </w:r>
      <w:r>
        <w:t xml:space="preserve"> </w:t>
      </w:r>
      <m:oMath>
        <m:r>
          <m:t>t</m:t>
        </m:r>
      </m:oMath>
      <w:r>
        <w:t xml:space="preserve"> </w:t>
      </w:r>
      <w:r>
        <w:t xml:space="preserve">years after 1977. Here is a table showing the values of</w:t>
      </w:r>
      <w:r>
        <w:t xml:space="preserve"> </w:t>
      </w:r>
      <m:oMath>
        <m:r>
          <m:t>p</m:t>
        </m:r>
      </m:oMath>
      <w:r>
        <w:t xml:space="preserve"> </w:t>
      </w:r>
      <w:r>
        <w:t xml:space="preserve">from 1977 to 1987.</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t</m:t>
              </m:r>
            </m:oMath>
          </w:p>
        </w:tc>
        <w:tc>
          <w:tcPr/>
          <w:p>
            <w:pPr>
              <w:pStyle w:val="Compact"/>
              <w:jc w:val="left"/>
            </w:pPr>
            <m:oMath>
              <m:r>
                <m:t>p</m:t>
              </m:r>
              <m:d>
                <m:dPr>
                  <m:begChr m:val="("/>
                  <m:endChr m:val=")"/>
                  <m:sepChr m:val=""/>
                  <m:grow/>
                </m:dPr>
                <m:e>
                  <m:r>
                    <m:t>t</m:t>
                  </m:r>
                </m:e>
              </m:d>
            </m:oMath>
          </w:p>
        </w:tc>
      </w:tr>
      <w:tr>
        <w:tc>
          <w:tcPr/>
          <w:p>
            <w:pPr>
              <w:pStyle w:val="Compact"/>
              <w:jc w:val="left"/>
            </w:pPr>
            <w:r>
              <w:t xml:space="preserve">0</w:t>
            </w:r>
          </w:p>
        </w:tc>
        <w:tc>
          <w:tcPr/>
          <w:p>
            <w:pPr>
              <w:pStyle w:val="Compact"/>
              <w:jc w:val="left"/>
            </w:pPr>
            <w:r>
              <w:t xml:space="preserve">80</w:t>
            </w:r>
          </w:p>
        </w:tc>
      </w:tr>
      <w:tr>
        <w:tc>
          <w:tcPr/>
          <w:p>
            <w:pPr>
              <w:pStyle w:val="Compact"/>
              <w:jc w:val="left"/>
            </w:pPr>
            <w:r>
              <w:t xml:space="preserve">1</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33.75</w:t>
            </w:r>
          </w:p>
        </w:tc>
      </w:tr>
      <w:tr>
        <w:tc>
          <w:tcPr/>
          <w:p>
            <w:pPr>
              <w:pStyle w:val="Compact"/>
              <w:jc w:val="left"/>
            </w:pPr>
            <w:r>
              <w:t xml:space="preserve">4</w:t>
            </w:r>
          </w:p>
        </w:tc>
        <w:tc>
          <w:tcPr/>
          <w:p>
            <w:pPr>
              <w:pStyle w:val="Compact"/>
              <w:jc w:val="left"/>
            </w:pPr>
            <w:r>
              <w:t xml:space="preserve">25.31</w:t>
            </w:r>
          </w:p>
        </w:tc>
      </w:tr>
      <w:tr>
        <w:tc>
          <w:tcPr/>
          <w:p>
            <w:pPr>
              <w:pStyle w:val="Compact"/>
              <w:jc w:val="left"/>
            </w:pPr>
            <w:r>
              <w:t xml:space="preserve">5</w:t>
            </w:r>
          </w:p>
        </w:tc>
        <w:tc>
          <w:tcPr/>
          <w:p>
            <w:pPr>
              <w:pStyle w:val="Compact"/>
              <w:jc w:val="left"/>
            </w:pPr>
            <w:r>
              <w:t xml:space="preserve">18.98</w:t>
            </w:r>
          </w:p>
        </w:tc>
      </w:tr>
      <w:tr>
        <w:tc>
          <w:tcPr/>
          <w:p>
            <w:pPr>
              <w:pStyle w:val="Compact"/>
              <w:jc w:val="left"/>
            </w:pPr>
            <w:r>
              <w:t xml:space="preserve">6</w:t>
            </w:r>
          </w:p>
        </w:tc>
        <w:tc>
          <w:tcPr/>
          <w:p>
            <w:pPr>
              <w:pStyle w:val="Compact"/>
              <w:jc w:val="left"/>
            </w:pPr>
            <w:r>
              <w:t xml:space="preserve">14.24</w:t>
            </w:r>
          </w:p>
        </w:tc>
      </w:tr>
      <w:tr>
        <w:tc>
          <w:tcPr/>
          <w:p>
            <w:pPr>
              <w:pStyle w:val="Compact"/>
              <w:jc w:val="left"/>
            </w:pPr>
            <w:r>
              <w:t xml:space="preserve">7</w:t>
            </w:r>
          </w:p>
        </w:tc>
        <w:tc>
          <w:tcPr/>
          <w:p>
            <w:pPr>
              <w:pStyle w:val="Compact"/>
              <w:jc w:val="left"/>
            </w:pPr>
            <w:r>
              <w:t xml:space="preserve">10.68</w:t>
            </w:r>
          </w:p>
        </w:tc>
      </w:tr>
      <w:tr>
        <w:tc>
          <w:tcPr/>
          <w:p>
            <w:pPr>
              <w:pStyle w:val="Compact"/>
              <w:jc w:val="left"/>
            </w:pPr>
            <w:r>
              <w:t xml:space="preserve">8</w:t>
            </w:r>
          </w:p>
        </w:tc>
        <w:tc>
          <w:tcPr/>
          <w:p>
            <w:pPr>
              <w:pStyle w:val="Compact"/>
              <w:jc w:val="left"/>
            </w:pPr>
            <w:r>
              <w:t xml:space="preserve">8.01</w:t>
            </w:r>
          </w:p>
        </w:tc>
      </w:tr>
      <w:tr>
        <w:tc>
          <w:tcPr/>
          <w:p>
            <w:pPr>
              <w:pStyle w:val="Compact"/>
              <w:jc w:val="left"/>
            </w:pPr>
            <w:r>
              <w:t xml:space="preserve">9</w:t>
            </w:r>
          </w:p>
        </w:tc>
        <w:tc>
          <w:tcPr/>
          <w:p>
            <w:pPr>
              <w:pStyle w:val="Compact"/>
              <w:jc w:val="left"/>
            </w:pPr>
            <w:r>
              <w:t xml:space="preserve">6.01</w:t>
            </w:r>
          </w:p>
        </w:tc>
      </w:tr>
      <w:tr>
        <w:tc>
          <w:tcPr/>
          <w:p>
            <w:pPr>
              <w:pStyle w:val="Compact"/>
              <w:jc w:val="left"/>
            </w:pPr>
            <w:r>
              <w:t xml:space="preserve">10</w:t>
            </w:r>
          </w:p>
        </w:tc>
        <w:tc>
          <w:tcPr/>
          <w:p>
            <w:pPr>
              <w:pStyle w:val="Compact"/>
              <w:jc w:val="left"/>
            </w:pPr>
            <w:r>
              <w:t xml:space="preserve">4.51</w:t>
            </w:r>
          </w:p>
        </w:tc>
      </w:tr>
    </w:tbl>
    <w:p>
      <w:pPr>
        <w:pStyle w:val="BodyText"/>
      </w:pPr>
      <w:r>
        <w:t xml:space="preserve">Which expression can be used to calculate the average rate of change in solar cost between 1977 and 1987?</w:t>
      </w:r>
    </w:p>
    <w:p>
      <w:pPr>
        <w:numPr>
          <w:ilvl w:val="0"/>
          <w:numId w:val="1001"/>
        </w:numPr>
        <w:pStyle w:val="Compact"/>
      </w:pPr>
      <m:oMath>
        <m:r>
          <m:t>p</m:t>
        </m:r>
        <m:d>
          <m:dPr>
            <m:begChr m:val="("/>
            <m:endChr m:val=")"/>
            <m:sepChr m:val=""/>
            <m:grow/>
          </m:dPr>
          <m:e>
            <m:r>
              <m:t>10</m:t>
            </m:r>
          </m:e>
        </m:d>
        <m:r>
          <m:rPr>
            <m:sty m:val="p"/>
          </m:rPr>
          <m:t>−</m:t>
        </m:r>
        <m:r>
          <m:t>p</m:t>
        </m:r>
        <m:d>
          <m:dPr>
            <m:begChr m:val="("/>
            <m:endChr m:val=")"/>
            <m:sepChr m:val=""/>
            <m:grow/>
          </m:dPr>
          <m:e>
            <m:r>
              <m:t>0</m:t>
            </m:r>
          </m:e>
        </m:d>
      </m:oMath>
    </w:p>
    <w:p>
      <w:pPr>
        <w:numPr>
          <w:ilvl w:val="0"/>
          <w:numId w:val="1001"/>
        </w:numPr>
        <w:pStyle w:val="Compact"/>
      </w:pPr>
      <m:oMath>
        <m:r>
          <m:t>p</m:t>
        </m:r>
        <m:d>
          <m:dPr>
            <m:begChr m:val="("/>
            <m:endChr m:val=")"/>
            <m:sepChr m:val=""/>
            <m:grow/>
          </m:dPr>
          <m:e>
            <m:r>
              <m:t>10</m:t>
            </m:r>
          </m:e>
        </m:d>
      </m:oMath>
    </w:p>
    <w:p>
      <w:pPr>
        <w:numPr>
          <w:ilvl w:val="0"/>
          <w:numId w:val="1001"/>
        </w:numPr>
        <w:pStyle w:val="Compact"/>
      </w:pPr>
      <m:oMath>
        <m:f>
          <m:fPr>
            <m:type m:val="bar"/>
          </m:fPr>
          <m:num>
            <m:r>
              <m:t>p</m:t>
            </m:r>
            <m:d>
              <m:dPr>
                <m:begChr m:val="("/>
                <m:endChr m:val=")"/>
                <m:sepChr m:val=""/>
                <m:grow/>
              </m:dPr>
              <m:e>
                <m:r>
                  <m:t>10</m:t>
                </m:r>
              </m:e>
            </m:d>
            <m:r>
              <m:rPr>
                <m:sty m:val="p"/>
              </m:rPr>
              <m:t>−</m:t>
            </m:r>
            <m:r>
              <m:t>p</m:t>
            </m:r>
            <m:d>
              <m:dPr>
                <m:begChr m:val="("/>
                <m:endChr m:val=")"/>
                <m:sepChr m:val=""/>
                <m:grow/>
              </m:dPr>
              <m:e>
                <m:r>
                  <m:t>0</m:t>
                </m:r>
              </m:e>
            </m:d>
          </m:num>
          <m:den>
            <m:r>
              <m:t>10</m:t>
            </m:r>
            <m:r>
              <m:rPr>
                <m:sty m:val="p"/>
              </m:rPr>
              <m:t>−</m:t>
            </m:r>
            <m:r>
              <m:t>0</m:t>
            </m:r>
          </m:den>
        </m:f>
      </m:oMath>
    </w:p>
    <w:p>
      <w:pPr>
        <w:numPr>
          <w:ilvl w:val="0"/>
          <w:numId w:val="1001"/>
        </w:numPr>
        <w:pStyle w:val="Compact"/>
      </w:pPr>
      <m:oMath>
        <m:f>
          <m:fPr>
            <m:type m:val="bar"/>
          </m:fPr>
          <m:num>
            <m:r>
              <m:t>p</m:t>
            </m:r>
            <m:d>
              <m:dPr>
                <m:begChr m:val="("/>
                <m:endChr m:val=")"/>
                <m:sepChr m:val=""/>
                <m:grow/>
              </m:dPr>
              <m:e>
                <m:r>
                  <m:t>10</m:t>
                </m:r>
              </m:e>
            </m:d>
          </m:num>
          <m:den>
            <m:r>
              <m:t>p</m:t>
            </m:r>
            <m:d>
              <m:dPr>
                <m:begChr m:val="("/>
                <m:endChr m:val=")"/>
                <m:sepChr m:val=""/>
                <m:grow/>
              </m:dPr>
              <m:e>
                <m:r>
                  <m:t>0</m:t>
                </m:r>
              </m:e>
            </m:d>
          </m:den>
        </m:f>
      </m:oMath>
    </w:p>
    <w:p>
      <w:pPr>
        <w:pStyle w:val="FirstParagraph"/>
      </w:pPr>
      <w:r>
        <w:t xml:space="preserve"> </w:t>
      </w:r>
    </w:p>
    <w:bookmarkEnd w:id="20"/>
    <w:p>
      <w:pPr>
        <w:pStyle w:val="BodyText"/>
      </w:pPr>
      <w:r>
        <w:t xml:space="preserve"> </w:t>
      </w:r>
      <w:r>
        <w:t xml:space="preserve">Algebra 1</w:t>
      </w:r>
      <w:r>
        <w:br/>
      </w:r>
      <w:r>
        <w:t xml:space="preserve">Unit 6</w:t>
      </w:r>
      <w:r>
        <w:t xml:space="preserve">Lesson 10</w:t>
      </w:r>
      <w:r>
        <w:t xml:space="preserve">CC BY NC 2024 Illustrative Mathematics®</w:t>
      </w:r>
    </w:p>
    <w:bookmarkStart w:id="24" w:name="activity-484380"/>
    <w:p>
      <w:pPr>
        <w:pStyle w:val="Heading2"/>
      </w:pPr>
      <w:r>
        <w:t xml:space="preserve">10.2</w:t>
      </w:r>
      <w:r>
        <w:t xml:space="preserve">Coffee Shops</w:t>
      </w:r>
    </w:p>
    <w:p>
      <w:pPr>
        <w:pStyle w:val="FirstParagraph"/>
      </w:pPr>
      <w:r>
        <w:t xml:space="preserve">Here are a table and a graph that show the number of coffee shops worldwide that a company had in its first 10 years, between 1987 and 1997. The growth in the number of stores was roughly exponential.</w:t>
      </w:r>
    </w:p>
    <w:p>
      <w:pPr>
        <w:pStyle w:val="BodyText"/>
      </w:pPr>
      <w:r>
        <w:drawing>
          <wp:inline>
            <wp:extent cx="3089135" cy="3098330"/>
            <wp:effectExtent b="0" l="0" r="0" t="0"/>
            <wp:docPr descr="Graph of a roughly exponential function, origin O. Years since 1987 and number of coffee shops." title="" id="22" name="Picture"/>
            <a:graphic>
              <a:graphicData uri="http://schemas.openxmlformats.org/drawingml/2006/picture">
                <pic:pic>
                  <pic:nvPicPr>
                    <pic:cNvPr descr="/app/tmp/embedder-1732015537.2730033.png" id="23" name="Picture"/>
                    <pic:cNvPicPr>
                      <a:picLocks noChangeArrowheads="1" noChangeAspect="1"/>
                    </pic:cNvPicPr>
                  </pic:nvPicPr>
                  <pic:blipFill>
                    <a:blip r:embed="rId21"/>
                    <a:stretch>
                      <a:fillRect/>
                    </a:stretch>
                  </pic:blipFill>
                  <pic:spPr bwMode="auto">
                    <a:xfrm>
                      <a:off x="0" y="0"/>
                      <a:ext cx="3089135" cy="309833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number of stores</w:t>
            </w:r>
          </w:p>
        </w:tc>
      </w:tr>
      <w:tr>
        <w:tc>
          <w:tcPr/>
          <w:p>
            <w:pPr>
              <w:pStyle w:val="Compact"/>
              <w:jc w:val="left"/>
            </w:pPr>
            <w:r>
              <w:t xml:space="preserve">1987</w:t>
            </w:r>
          </w:p>
        </w:tc>
        <w:tc>
          <w:tcPr/>
          <w:p>
            <w:pPr>
              <w:pStyle w:val="Compact"/>
              <w:jc w:val="left"/>
            </w:pPr>
            <w:r>
              <w:t xml:space="preserve">17</w:t>
            </w:r>
          </w:p>
        </w:tc>
      </w:tr>
      <w:tr>
        <w:tc>
          <w:tcPr/>
          <w:p>
            <w:pPr>
              <w:pStyle w:val="Compact"/>
              <w:jc w:val="left"/>
            </w:pPr>
            <w:r>
              <w:t xml:space="preserve">1988</w:t>
            </w:r>
          </w:p>
        </w:tc>
        <w:tc>
          <w:tcPr/>
          <w:p>
            <w:pPr>
              <w:pStyle w:val="Compact"/>
              <w:jc w:val="left"/>
            </w:pPr>
            <w:r>
              <w:t xml:space="preserve">33</w:t>
            </w:r>
          </w:p>
        </w:tc>
      </w:tr>
      <w:tr>
        <w:tc>
          <w:tcPr/>
          <w:p>
            <w:pPr>
              <w:pStyle w:val="Compact"/>
              <w:jc w:val="left"/>
            </w:pPr>
            <w:r>
              <w:t xml:space="preserve">1989</w:t>
            </w:r>
          </w:p>
        </w:tc>
        <w:tc>
          <w:tcPr/>
          <w:p>
            <w:pPr>
              <w:pStyle w:val="Compact"/>
              <w:jc w:val="left"/>
            </w:pPr>
            <w:r>
              <w:t xml:space="preserve">55</w:t>
            </w:r>
          </w:p>
        </w:tc>
      </w:tr>
      <w:tr>
        <w:tc>
          <w:tcPr/>
          <w:p>
            <w:pPr>
              <w:pStyle w:val="Compact"/>
              <w:jc w:val="left"/>
            </w:pPr>
            <w:r>
              <w:t xml:space="preserve">1990</w:t>
            </w:r>
          </w:p>
        </w:tc>
        <w:tc>
          <w:tcPr/>
          <w:p>
            <w:pPr>
              <w:pStyle w:val="Compact"/>
              <w:jc w:val="left"/>
            </w:pPr>
            <w:r>
              <w:t xml:space="preserve">84</w:t>
            </w:r>
          </w:p>
        </w:tc>
      </w:tr>
      <w:tr>
        <w:tc>
          <w:tcPr/>
          <w:p>
            <w:pPr>
              <w:pStyle w:val="Compact"/>
              <w:jc w:val="left"/>
            </w:pPr>
            <w:r>
              <w:t xml:space="preserve">1991</w:t>
            </w:r>
          </w:p>
        </w:tc>
        <w:tc>
          <w:tcPr/>
          <w:p>
            <w:pPr>
              <w:pStyle w:val="Compact"/>
              <w:jc w:val="left"/>
            </w:pPr>
            <w:r>
              <w:t xml:space="preserve">116</w:t>
            </w:r>
          </w:p>
        </w:tc>
      </w:tr>
      <w:tr>
        <w:tc>
          <w:tcPr/>
          <w:p>
            <w:pPr>
              <w:pStyle w:val="Compact"/>
              <w:jc w:val="left"/>
            </w:pPr>
            <w:r>
              <w:t xml:space="preserve">1992</w:t>
            </w:r>
          </w:p>
        </w:tc>
        <w:tc>
          <w:tcPr/>
          <w:p>
            <w:pPr>
              <w:pStyle w:val="Compact"/>
              <w:jc w:val="left"/>
            </w:pPr>
            <w:r>
              <w:t xml:space="preserve">165</w:t>
            </w:r>
          </w:p>
        </w:tc>
      </w:tr>
      <w:tr>
        <w:tc>
          <w:tcPr/>
          <w:p>
            <w:pPr>
              <w:pStyle w:val="Compact"/>
              <w:jc w:val="left"/>
            </w:pPr>
            <w:r>
              <w:t xml:space="preserve">1993</w:t>
            </w:r>
          </w:p>
        </w:tc>
        <w:tc>
          <w:tcPr/>
          <w:p>
            <w:pPr>
              <w:pStyle w:val="Compact"/>
              <w:jc w:val="left"/>
            </w:pPr>
            <w:r>
              <w:t xml:space="preserve">272</w:t>
            </w:r>
          </w:p>
        </w:tc>
      </w:tr>
      <w:tr>
        <w:tc>
          <w:tcPr/>
          <w:p>
            <w:pPr>
              <w:pStyle w:val="Compact"/>
              <w:jc w:val="left"/>
            </w:pPr>
            <w:r>
              <w:t xml:space="preserve">1994</w:t>
            </w:r>
          </w:p>
        </w:tc>
        <w:tc>
          <w:tcPr/>
          <w:p>
            <w:pPr>
              <w:pStyle w:val="Compact"/>
              <w:jc w:val="left"/>
            </w:pPr>
            <w:r>
              <w:t xml:space="preserve">425</w:t>
            </w:r>
          </w:p>
        </w:tc>
      </w:tr>
      <w:tr>
        <w:tc>
          <w:tcPr/>
          <w:p>
            <w:pPr>
              <w:pStyle w:val="Compact"/>
              <w:jc w:val="left"/>
            </w:pPr>
            <w:r>
              <w:t xml:space="preserve">1995</w:t>
            </w:r>
          </w:p>
        </w:tc>
        <w:tc>
          <w:tcPr/>
          <w:p>
            <w:pPr>
              <w:pStyle w:val="Compact"/>
              <w:jc w:val="left"/>
            </w:pPr>
            <w:r>
              <w:t xml:space="preserve">677</w:t>
            </w:r>
          </w:p>
        </w:tc>
      </w:tr>
      <w:tr>
        <w:tc>
          <w:tcPr/>
          <w:p>
            <w:pPr>
              <w:pStyle w:val="Compact"/>
              <w:jc w:val="left"/>
            </w:pPr>
            <w:r>
              <w:t xml:space="preserve">1996</w:t>
            </w:r>
          </w:p>
        </w:tc>
        <w:tc>
          <w:tcPr/>
          <w:p>
            <w:pPr>
              <w:pStyle w:val="Compact"/>
              <w:jc w:val="left"/>
            </w:pPr>
            <w:r>
              <w:t xml:space="preserve">1,015</w:t>
            </w:r>
          </w:p>
        </w:tc>
      </w:tr>
      <w:tr>
        <w:tc>
          <w:tcPr/>
          <w:p>
            <w:pPr>
              <w:pStyle w:val="Compact"/>
              <w:jc w:val="left"/>
            </w:pPr>
            <w:r>
              <w:t xml:space="preserve">1997</w:t>
            </w:r>
          </w:p>
        </w:tc>
        <w:tc>
          <w:tcPr/>
          <w:p>
            <w:pPr>
              <w:pStyle w:val="Compact"/>
              <w:jc w:val="left"/>
            </w:pPr>
            <w:r>
              <w:t xml:space="preserve">1,412</w:t>
            </w:r>
          </w:p>
        </w:tc>
      </w:tr>
    </w:tbl>
    <w:p>
      <w:pPr>
        <w:numPr>
          <w:ilvl w:val="0"/>
          <w:numId w:val="1002"/>
        </w:numPr>
      </w:pPr>
      <w:r>
        <w:t xml:space="preserve">Find the average rate of change for each period of time. Show your reasoning.</w:t>
      </w:r>
    </w:p>
    <w:p>
      <w:pPr>
        <w:numPr>
          <w:ilvl w:val="1"/>
          <w:numId w:val="1003"/>
        </w:numPr>
        <w:pStyle w:val="Compact"/>
      </w:pPr>
      <w:r>
        <w:t xml:space="preserve">1987 and 1990</w:t>
      </w:r>
    </w:p>
    <w:p>
      <w:pPr>
        <w:numPr>
          <w:ilvl w:val="1"/>
          <w:numId w:val="1003"/>
        </w:numPr>
        <w:pStyle w:val="Compact"/>
      </w:pPr>
      <w:r>
        <w:t xml:space="preserve">1987 and 1993</w:t>
      </w:r>
    </w:p>
    <w:p>
      <w:pPr>
        <w:numPr>
          <w:ilvl w:val="1"/>
          <w:numId w:val="1003"/>
        </w:numPr>
        <w:pStyle w:val="Compact"/>
      </w:pPr>
      <w:r>
        <w:t xml:space="preserve">1987 and 1997</w:t>
      </w:r>
    </w:p>
    <w:p>
      <w:pPr>
        <w:numPr>
          <w:ilvl w:val="0"/>
          <w:numId w:val="1002"/>
        </w:numPr>
        <w:pStyle w:val="Compact"/>
      </w:pPr>
      <w:r>
        <w:t xml:space="preserve">Make some observations about the rates of change that you calculated. What do these average rates tell us about how the company was growing during this time period?</w:t>
      </w:r>
    </w:p>
    <w:p>
      <w:pPr>
        <w:numPr>
          <w:ilvl w:val="0"/>
          <w:numId w:val="1002"/>
        </w:numPr>
      </w:pPr>
      <w:r>
        <w:t xml:space="preserve">Use the graph to support your answers to these questions. How well do the average rates of change describe the growth of the company in:</w:t>
      </w:r>
    </w:p>
    <w:p>
      <w:pPr>
        <w:numPr>
          <w:ilvl w:val="1"/>
          <w:numId w:val="1004"/>
        </w:numPr>
        <w:pStyle w:val="Compact"/>
      </w:pPr>
      <w:r>
        <w:t xml:space="preserve">the first 3 years?</w:t>
      </w:r>
    </w:p>
    <w:p>
      <w:pPr>
        <w:numPr>
          <w:ilvl w:val="1"/>
          <w:numId w:val="1004"/>
        </w:numPr>
        <w:pStyle w:val="Compact"/>
      </w:pPr>
      <w:r>
        <w:t xml:space="preserve">the first 6 years?</w:t>
      </w:r>
    </w:p>
    <w:p>
      <w:pPr>
        <w:numPr>
          <w:ilvl w:val="1"/>
          <w:numId w:val="1004"/>
        </w:numPr>
        <w:pStyle w:val="Compact"/>
      </w:pPr>
      <w:r>
        <w:t xml:space="preserve">the entire 10 years?</w:t>
      </w:r>
    </w:p>
    <w:p>
      <w:pPr>
        <w:numPr>
          <w:ilvl w:val="0"/>
          <w:numId w:val="1002"/>
        </w:numPr>
        <w:pStyle w:val="Compact"/>
      </w:pPr>
      <w:r>
        <w:t xml:space="preserve">Let</w:t>
      </w:r>
      <w:r>
        <w:t xml:space="preserve"> </w:t>
      </w:r>
      <m:oMath>
        <m:r>
          <m:t>f</m:t>
        </m:r>
      </m:oMath>
      <w:r>
        <w:t xml:space="preserve"> </w:t>
      </w:r>
      <w:r>
        <w:t xml:space="preserve">be the function so that</w:t>
      </w:r>
      <m:oMath>
        <m:r>
          <m:t>f</m:t>
        </m:r>
        <m:d>
          <m:dPr>
            <m:begChr m:val="("/>
            <m:endChr m:val=")"/>
            <m:sepChr m:val=""/>
            <m:grow/>
          </m:dPr>
          <m:e>
            <m:r>
              <m:t>t</m:t>
            </m:r>
          </m:e>
        </m:d>
      </m:oMath>
      <w:r>
        <w:t xml:space="preserve"> </w:t>
      </w:r>
      <w:r>
        <w:t xml:space="preserve">represents the number of stores </w:t>
      </w:r>
      <m:oMath>
        <m:r>
          <m:t>t</m:t>
        </m:r>
      </m:oMath>
      <w:r>
        <w:t xml:space="preserve"> </w:t>
      </w:r>
      <w:r>
        <w:t xml:space="preserve">years since 1987. The value of</w:t>
      </w:r>
      <w:r>
        <w:t xml:space="preserve"> </w:t>
      </w:r>
      <m:oMath>
        <m:r>
          <m:t>f</m:t>
        </m:r>
        <m:d>
          <m:dPr>
            <m:begChr m:val="("/>
            <m:endChr m:val=")"/>
            <m:sepChr m:val=""/>
            <m:grow/>
          </m:dPr>
          <m:e>
            <m:r>
              <m:t>20</m:t>
            </m:r>
          </m:e>
        </m:d>
      </m:oMath>
      <w:r>
        <w:t xml:space="preserve"> </w:t>
      </w:r>
      <w:r>
        <w:t xml:space="preserve">is 15,011. Find</w:t>
      </w:r>
      <w:r>
        <w:t xml:space="preserve"> </w:t>
      </w:r>
      <m:oMath>
        <m:f>
          <m:fPr>
            <m:type m:val="bar"/>
          </m:fPr>
          <m:num>
            <m:r>
              <m:t>f</m:t>
            </m:r>
            <m:d>
              <m:dPr>
                <m:begChr m:val="("/>
                <m:endChr m:val=")"/>
                <m:sepChr m:val=""/>
                <m:grow/>
              </m:dPr>
              <m:e>
                <m:r>
                  <m:t>20</m:t>
                </m:r>
              </m:e>
            </m:d>
            <m:r>
              <m:rPr>
                <m:sty m:val="p"/>
              </m:rPr>
              <m:t>−</m:t>
            </m:r>
            <m:r>
              <m:t>f</m:t>
            </m:r>
            <m:d>
              <m:dPr>
                <m:begChr m:val="("/>
                <m:endChr m:val=")"/>
                <m:sepChr m:val=""/>
                <m:grow/>
              </m:dPr>
              <m:e>
                <m:r>
                  <m:t>10</m:t>
                </m:r>
              </m:e>
            </m:d>
          </m:num>
          <m:den>
            <m:r>
              <m:t>20</m:t>
            </m:r>
            <m:r>
              <m:rPr>
                <m:sty m:val="p"/>
              </m:rPr>
              <m:t>−</m:t>
            </m:r>
            <m:r>
              <m:t>10</m:t>
            </m:r>
          </m:den>
        </m:f>
      </m:oMath>
      <w:r>
        <w:t xml:space="preserve">, and say what it tells us about the change in the number of stores.</w:t>
      </w:r>
    </w:p>
    <w:bookmarkEnd w:id="24"/>
    <w:p>
      <w:pPr>
        <w:pStyle w:val="FirstParagraph"/>
      </w:pPr>
      <w:r>
        <w:t xml:space="preserve"> </w:t>
      </w:r>
      <w:r>
        <w:t xml:space="preserve">Algebra 1</w:t>
      </w:r>
      <w:r>
        <w:br/>
      </w:r>
      <w:r>
        <w:t xml:space="preserve">Unit 6</w:t>
      </w:r>
      <w:r>
        <w:t xml:space="preserve">Lesson 10</w:t>
      </w:r>
      <w:r>
        <w:t xml:space="preserve">CC BY NC 2024 Illustrative Mathematics®</w:t>
      </w:r>
    </w:p>
    <w:bookmarkStart w:id="29" w:name="activity-484381"/>
    <w:p>
      <w:pPr>
        <w:pStyle w:val="Heading2"/>
      </w:pPr>
      <w:r>
        <w:t xml:space="preserve">10.3</w:t>
      </w:r>
      <w:r>
        <w:t xml:space="preserve">Revisiting Cost of Solar Cells</w:t>
      </w:r>
    </w:p>
    <w:p>
      <w:pPr>
        <w:pStyle w:val="FirstParagraph"/>
      </w:pPr>
      <w:r>
        <w:t xml:space="preserve">This graph represents the exponential function, </w:t>
      </w:r>
      <m:oMath>
        <m:r>
          <m:t>p</m:t>
        </m:r>
      </m:oMath>
      <w:r>
        <w:t xml:space="preserve">, which models the cost</w:t>
      </w:r>
      <w:r>
        <w:t xml:space="preserve"> </w:t>
      </w:r>
      <m:oMath>
        <m:r>
          <m:t>p</m:t>
        </m:r>
        <m:d>
          <m:dPr>
            <m:begChr m:val="("/>
            <m:endChr m:val=")"/>
            <m:sepChr m:val=""/>
            <m:grow/>
          </m:dPr>
          <m:e>
            <m:r>
              <m:t>t</m:t>
            </m:r>
          </m:e>
        </m:d>
      </m:oMath>
      <w:r>
        <w:t xml:space="preserve">, in dollars, of producing 1 watt of solar energy, from 1977 to 1988, where</w:t>
      </w:r>
      <w:r>
        <w:t xml:space="preserve"> </w:t>
      </w:r>
      <m:oMath>
        <m:r>
          <m:t>t</m:t>
        </m:r>
      </m:oMath>
      <w:r>
        <w:t xml:space="preserve"> </w:t>
      </w:r>
      <w:r>
        <w:t xml:space="preserve">is years since 1977.</w:t>
      </w:r>
    </w:p>
    <w:p>
      <w:pPr>
        <w:pStyle w:val="BodyText"/>
      </w:pPr>
      <w:r>
        <w:drawing>
          <wp:inline>
            <wp:extent cx="4408309" cy="3098330"/>
            <wp:effectExtent b="0" l="0" r="0" t="0"/>
            <wp:docPr descr="Graph of an exponential function, origin O. t (years since 1977) and p (dollars per watt)." title="" id="26" name="Picture"/>
            <a:graphic>
              <a:graphicData uri="http://schemas.openxmlformats.org/drawingml/2006/picture">
                <pic:pic>
                  <pic:nvPicPr>
                    <pic:cNvPr descr="/app/tmp/embedder-1732015537.3885756.png" id="27" name="Picture"/>
                    <pic:cNvPicPr>
                      <a:picLocks noChangeArrowheads="1" noChangeAspect="1"/>
                    </pic:cNvPicPr>
                  </pic:nvPicPr>
                  <pic:blipFill>
                    <a:blip r:embed="rId25"/>
                    <a:stretch>
                      <a:fillRect/>
                    </a:stretch>
                  </pic:blipFill>
                  <pic:spPr bwMode="auto">
                    <a:xfrm>
                      <a:off x="0" y="0"/>
                      <a:ext cx="4408309" cy="3098330"/>
                    </a:xfrm>
                    <a:prstGeom prst="rect">
                      <a:avLst/>
                    </a:prstGeom>
                    <a:noFill/>
                    <a:ln w="9525">
                      <a:noFill/>
                      <a:headEnd/>
                      <a:tailEnd/>
                    </a:ln>
                  </pic:spPr>
                </pic:pic>
              </a:graphicData>
            </a:graphic>
          </wp:inline>
        </w:drawing>
      </w:r>
    </w:p>
    <w:p>
      <w:pPr>
        <w:numPr>
          <w:ilvl w:val="0"/>
          <w:numId w:val="1005"/>
        </w:numPr>
        <w:pStyle w:val="Compact"/>
      </w:pPr>
      <w:r>
        <w:t xml:space="preserve">Clare said, "In the first five years, between 1977 and 1982, the cost fell by about</w:t>
      </w:r>
      <w:r>
        <w:t xml:space="preserve"> </w:t>
      </w:r>
      <w:r>
        <w:t xml:space="preserve">$</w:t>
      </w:r>
      <w:r>
        <w:t xml:space="preserve">12 per year. But in the second five years, between 1983 and 1988, the cost fell only by about</w:t>
      </w:r>
      <w:r>
        <w:t xml:space="preserve"> </w:t>
      </w:r>
      <w:r>
        <w:t xml:space="preserve">$</w:t>
      </w:r>
      <w:r>
        <w:t xml:space="preserve">2 a year." Show that Clare is correct.</w:t>
      </w:r>
    </w:p>
    <w:p>
      <w:pPr>
        <w:numPr>
          <w:ilvl w:val="0"/>
          <w:numId w:val="1005"/>
        </w:numPr>
        <w:pStyle w:val="Compact"/>
      </w:pPr>
      <w:r>
        <w:t xml:space="preserve">If the trend continues, will the average decrease in price be more or less than</w:t>
      </w:r>
      <w:r>
        <w:t xml:space="preserve"> </w:t>
      </w:r>
      <w:r>
        <w:t xml:space="preserve">$</w:t>
      </w:r>
      <w:r>
        <w:t xml:space="preserve">2 per year between 1987 and 1992? Explain your reasoning.</w:t>
      </w:r>
    </w:p>
    <w:bookmarkStart w:id="28" w:name="activity-484381"/>
    <w:p>
      <w:pPr>
        <w:pStyle w:val="Heading3"/>
      </w:pPr>
      <w:r>
        <w:t xml:space="preserve">Are you ready for more?</w:t>
      </w:r>
    </w:p>
    <w:p>
      <w:pPr>
        <w:pStyle w:val="FirstParagraph"/>
      </w:pPr>
      <w:r>
        <w:t xml:space="preserve">Suppose the cost of producing 1 watt of solar energy had instead decreased by</w:t>
      </w:r>
      <w:r>
        <w:t xml:space="preserve"> </w:t>
      </w:r>
      <w:r>
        <w:t xml:space="preserve">$</w:t>
      </w:r>
      <w:r>
        <w:t xml:space="preserve">12.20 each year between 1977 and 1982. Compute what the costs would be each year and plot them on the same graph shown in the activity. How do these alternate costs compare to the actual costs shown?</w:t>
      </w:r>
    </w:p>
    <w:bookmarkEnd w:id="28"/>
    <w:bookmarkEnd w:id="29"/>
    <w:bookmarkStart w:id="30" w:name="lesson-484357"/>
    <w:p>
      <w:pPr>
        <w:pStyle w:val="Heading2"/>
      </w:pPr>
      <w:r>
        <w:t xml:space="preserve">Lesson 10 Summary</w:t>
      </w:r>
    </w:p>
    <w:p>
      <w:pPr>
        <w:pStyle w:val="FirstParagraph"/>
      </w:pPr>
      <w:r>
        <w:t xml:space="preserve">When we calculate the average rate of change for a linear function, no matter what interval we pick, the value of the rate of change is the same. A constant rate of change is an important feature of linear functions! When a linear function is represented by a graph, the slope of the line is the rate of change of the function.</w:t>
      </w:r>
    </w:p>
    <w:p>
      <w:pPr>
        <w:pStyle w:val="BodyText"/>
      </w:pPr>
      <w:r>
        <w:t xml:space="preserve">Exponential functions also have important features. We've learned about exponential growth and exponential decay, both of which are characterized by a constant quotient over equal intervals. But what does this mean for the value of the average rate of change for an exponential function over a specific interval?</w:t>
      </w:r>
    </w:p>
    <w:p>
      <w:pPr>
        <w:pStyle w:val="BodyText"/>
      </w:pPr>
      <w:r>
        <w:t xml:space="preserve">Let's look at an exponential function that we studied earlier. Let</w:t>
      </w:r>
      <w:r>
        <w:t xml:space="preserve"> </w:t>
      </w:r>
      <m:oMath>
        <m:r>
          <m:t>A</m:t>
        </m:r>
      </m:oMath>
      <w:r>
        <w:t xml:space="preserve"> </w:t>
      </w:r>
      <w:r>
        <w:t xml:space="preserve">be the function that models the area, </w:t>
      </w:r>
      <m:oMath>
        <m:r>
          <m:t>A</m:t>
        </m:r>
        <m:d>
          <m:dPr>
            <m:begChr m:val="("/>
            <m:endChr m:val=")"/>
            <m:sepChr m:val=""/>
            <m:grow/>
          </m:dPr>
          <m:e>
            <m:r>
              <m:t>t</m:t>
            </m:r>
          </m:e>
        </m:d>
      </m:oMath>
      <w:r>
        <w:t xml:space="preserve">, in square yards, of algae covering a pond</w:t>
      </w:r>
      <w:r>
        <w:t xml:space="preserve"> </w:t>
      </w:r>
      <m:oMath>
        <m:r>
          <m:t>t</m:t>
        </m:r>
      </m:oMath>
      <w:r>
        <w:t xml:space="preserve"> </w:t>
      </w:r>
      <w:r>
        <w:t xml:space="preserve">weeks after beginning treatment to control the algae bloom. Here is a table showing about how many square yards of algae remain during the first 5 weeks of treatment.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t</m:t>
              </m:r>
            </m:oMath>
          </w:p>
        </w:tc>
        <w:tc>
          <w:tcPr/>
          <w:p>
            <w:pPr>
              <w:pStyle w:val="Compact"/>
              <w:jc w:val="left"/>
            </w:pPr>
            <m:oMath>
              <m:r>
                <m:t>A</m:t>
              </m:r>
              <m:d>
                <m:dPr>
                  <m:begChr m:val="("/>
                  <m:endChr m:val=")"/>
                  <m:sepChr m:val=""/>
                  <m:grow/>
                </m:dPr>
                <m:e>
                  <m:r>
                    <m:t>t</m:t>
                  </m:r>
                </m:e>
              </m:d>
            </m:oMath>
          </w:p>
        </w:tc>
      </w:tr>
      <w:tr>
        <w:tc>
          <w:tcPr/>
          <w:p>
            <w:pPr>
              <w:pStyle w:val="Compact"/>
              <w:jc w:val="left"/>
            </w:pPr>
            <w:r>
              <w:t xml:space="preserve">0</w:t>
            </w:r>
          </w:p>
        </w:tc>
        <w:tc>
          <w:tcPr/>
          <w:p>
            <w:pPr>
              <w:pStyle w:val="Compact"/>
              <w:jc w:val="left"/>
            </w:pPr>
            <w:r>
              <w:t xml:space="preserve">240</w:t>
            </w:r>
          </w:p>
        </w:tc>
      </w:tr>
      <w:tr>
        <w:tc>
          <w:tcPr/>
          <w:p>
            <w:pPr>
              <w:pStyle w:val="Compact"/>
              <w:jc w:val="left"/>
            </w:pPr>
            <w:r>
              <w:t xml:space="preserve">1</w:t>
            </w:r>
          </w:p>
        </w:tc>
        <w:tc>
          <w:tcPr/>
          <w:p>
            <w:pPr>
              <w:pStyle w:val="Compact"/>
              <w:jc w:val="left"/>
            </w:pPr>
            <w:r>
              <w:t xml:space="preserve">80</w:t>
            </w:r>
          </w:p>
        </w:tc>
      </w:tr>
      <w:tr>
        <w:tc>
          <w:tcPr/>
          <w:p>
            <w:pPr>
              <w:pStyle w:val="Compact"/>
              <w:jc w:val="left"/>
            </w:pPr>
            <w:r>
              <w:t xml:space="preserve">2</w:t>
            </w:r>
          </w:p>
        </w:tc>
        <w:tc>
          <w:tcPr/>
          <w:p>
            <w:pPr>
              <w:pStyle w:val="Compact"/>
              <w:jc w:val="left"/>
            </w:pPr>
            <w:r>
              <w:t xml:space="preserve">27 </w:t>
            </w:r>
          </w:p>
        </w:tc>
      </w:tr>
      <w:tr>
        <w:tc>
          <w:tcPr/>
          <w:p>
            <w:pPr>
              <w:pStyle w:val="Compact"/>
              <w:jc w:val="left"/>
            </w:pPr>
            <w:r>
              <w:t xml:space="preserve">3</w:t>
            </w:r>
          </w:p>
        </w:tc>
        <w:tc>
          <w:tcPr/>
          <w:p>
            <w:pPr>
              <w:pStyle w:val="Compact"/>
              <w:jc w:val="left"/>
            </w:pPr>
            <w:r>
              <w:t xml:space="preserve">9</w:t>
            </w:r>
          </w:p>
        </w:tc>
      </w:tr>
      <w:tr>
        <w:tc>
          <w:tcPr/>
          <w:p>
            <w:pPr>
              <w:pStyle w:val="Compact"/>
              <w:jc w:val="left"/>
            </w:pPr>
            <w:r>
              <w:t xml:space="preserve">4</w:t>
            </w:r>
          </w:p>
        </w:tc>
        <w:tc>
          <w:tcPr/>
          <w:p>
            <w:pPr>
              <w:pStyle w:val="Compact"/>
              <w:jc w:val="left"/>
            </w:pPr>
            <w:r>
              <w:t xml:space="preserve">3</w:t>
            </w:r>
          </w:p>
        </w:tc>
      </w:tr>
    </w:tbl>
    <w:p>
      <w:pPr>
        <w:pStyle w:val="BodyText"/>
      </w:pPr>
      <w:r>
        <w:t xml:space="preserve">The average rate of change of</w:t>
      </w:r>
      <w:r>
        <w:t xml:space="preserve"> </w:t>
      </w:r>
      <m:oMath>
        <m:r>
          <m:t>A</m:t>
        </m:r>
      </m:oMath>
      <w:r>
        <w:t xml:space="preserve"> </w:t>
      </w:r>
      <w:r>
        <w:t xml:space="preserve">from the start of treatment to Week 2 is about -107 square yards per week because </w:t>
      </w:r>
      <m:oMath>
        <m:f>
          <m:fPr>
            <m:type m:val="bar"/>
          </m:fPr>
          <m:num>
            <m:r>
              <m:t>A</m:t>
            </m:r>
            <m:d>
              <m:dPr>
                <m:begChr m:val="("/>
                <m:endChr m:val=")"/>
                <m:sepChr m:val=""/>
                <m:grow/>
              </m:dPr>
              <m:e>
                <m:r>
                  <m:t>2</m:t>
                </m:r>
              </m:e>
            </m:d>
            <m:r>
              <m:rPr>
                <m:sty m:val="p"/>
              </m:rPr>
              <m:t>−</m:t>
            </m:r>
            <m:r>
              <m:t>A</m:t>
            </m:r>
            <m:d>
              <m:dPr>
                <m:begChr m:val="("/>
                <m:endChr m:val=")"/>
                <m:sepChr m:val=""/>
                <m:grow/>
              </m:dPr>
              <m:e>
                <m:r>
                  <m:t>0</m:t>
                </m:r>
              </m:e>
            </m:d>
          </m:num>
          <m:den>
            <m:r>
              <m:t>2</m:t>
            </m:r>
            <m:r>
              <m:rPr>
                <m:sty m:val="p"/>
              </m:rPr>
              <m:t>−</m:t>
            </m:r>
            <m:r>
              <m:t>0</m:t>
            </m:r>
          </m:den>
        </m:f>
        <m:r>
          <m:rPr>
            <m:sty m:val="p"/>
          </m:rPr>
          <m:t>≈</m:t>
        </m:r>
        <m:r>
          <m:rPr>
            <m:nor/>
            <m:sty m:val="p"/>
          </m:rPr>
          <m:t>-</m:t>
        </m:r>
        <m:r>
          <m:t>107</m:t>
        </m:r>
      </m:oMath>
      <w:r>
        <w:t xml:space="preserve">. The average rate of change of</w:t>
      </w:r>
      <w:r>
        <w:t xml:space="preserve"> </w:t>
      </w:r>
      <m:oMath>
        <m:r>
          <m:t>A</m:t>
        </m:r>
      </m:oMath>
      <w:r>
        <w:t xml:space="preserve"> </w:t>
      </w:r>
      <w:r>
        <w:t xml:space="preserve">from Week 2 to Week 4, however, is only about -12 square yards per week because </w:t>
      </w:r>
      <m:oMath>
        <m:f>
          <m:fPr>
            <m:type m:val="bar"/>
          </m:fPr>
          <m:num>
            <m:r>
              <m:t>A</m:t>
            </m:r>
            <m:d>
              <m:dPr>
                <m:begChr m:val="("/>
                <m:endChr m:val=")"/>
                <m:sepChr m:val=""/>
                <m:grow/>
              </m:dPr>
              <m:e>
                <m:r>
                  <m:t>4</m:t>
                </m:r>
              </m:e>
            </m:d>
            <m:r>
              <m:rPr>
                <m:sty m:val="p"/>
              </m:rPr>
              <m:t>−</m:t>
            </m:r>
            <m:r>
              <m:t>A</m:t>
            </m:r>
            <m:d>
              <m:dPr>
                <m:begChr m:val="("/>
                <m:endChr m:val=")"/>
                <m:sepChr m:val=""/>
                <m:grow/>
              </m:dPr>
              <m:e>
                <m:r>
                  <m:t>2</m:t>
                </m:r>
              </m:e>
            </m:d>
          </m:num>
          <m:den>
            <m:r>
              <m:t>4</m:t>
            </m:r>
            <m:r>
              <m:rPr>
                <m:sty m:val="p"/>
              </m:rPr>
              <m:t>−</m:t>
            </m:r>
            <m:r>
              <m:t>2</m:t>
            </m:r>
          </m:den>
        </m:f>
        <m:r>
          <m:rPr>
            <m:sty m:val="p"/>
          </m:rPr>
          <m:t>≈</m:t>
        </m:r>
        <m:r>
          <m:rPr>
            <m:nor/>
            <m:sty m:val="p"/>
          </m:rPr>
          <m:t>-</m:t>
        </m:r>
        <m:r>
          <m:t>12</m:t>
        </m:r>
      </m:oMath>
      <w:r>
        <w:t xml:space="preserve">.</w:t>
      </w:r>
    </w:p>
    <w:p>
      <w:pPr>
        <w:pStyle w:val="BodyText"/>
      </w:pPr>
      <w:r>
        <w:t xml:space="preserve">The negative average rates of change show that</w:t>
      </w:r>
      <w:r>
        <w:t xml:space="preserve"> </w:t>
      </w:r>
      <m:oMath>
        <m:r>
          <m:t>A</m:t>
        </m:r>
      </m:oMath>
      <w:r>
        <w:t xml:space="preserve"> </w:t>
      </w:r>
      <w:r>
        <w:t xml:space="preserve">is decreasing over both intervals, but the average rate of change for the time during Weeks 0 to 2 indicates that the values are decreasing more rapidly than during Weeks 2 to 4 due to the effect of the decay factor. For an exponential function with a growth factor greater than 1, the values for the average rate of change of each interval are positive, with the second interval increasing more quickly due to the effect of the growth factor.</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2024-11-19T11:25:38Z</dcterms:created>
  <dcterms:modified xsi:type="dcterms:W3CDTF">2024-11-19T11:25:38Z</dcterms:modified>
</cp:coreProperties>
</file>

<file path=docProps/custom.xml><?xml version="1.0" encoding="utf-8"?>
<Properties xmlns="http://schemas.openxmlformats.org/officeDocument/2006/custom-properties" xmlns:vt="http://schemas.openxmlformats.org/officeDocument/2006/docPropsVTypes"/>
</file>