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5" w:name="Xcb3243cafb502d94aa164befa4a3518272051c7"/>
    <w:p>
      <w:pPr>
        <w:pStyle w:val="Heading1"/>
      </w:pPr>
      <w:r>
        <w:t xml:space="preserve">Lesson 6: Relacionemos división y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4.NF.B.4</w:t>
            </w:r>
          </w:p>
        </w:tc>
      </w:tr>
      <w:tr>
        <w:tc>
          <w:tcPr/>
          <w:p>
            <w:pPr>
              <w:pStyle w:val="Compact"/>
              <w:jc w:val="left"/>
            </w:pPr>
            <w:r>
              <w:t xml:space="preserve">Addressing</w:t>
            </w:r>
          </w:p>
        </w:tc>
        <w:tc>
          <w:tcPr/>
          <w:p>
            <w:pPr>
              <w:pStyle w:val="Compact"/>
              <w:jc w:val="left"/>
            </w:pPr>
            <w:r>
              <w:t xml:space="preserve">5.NF.B.3, 5.OA.A.2</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la relación que hay entre la multiplicación y la división.</w:t>
      </w:r>
    </w:p>
    <w:bookmarkEnd w:id="25"/>
    <w:bookmarkStart w:id="26" w:name="lesson-purpose"/>
    <w:p>
      <w:pPr>
        <w:pStyle w:val="Heading3"/>
      </w:pPr>
      <w:r>
        <w:t xml:space="preserve">Lesson Purpose</w:t>
      </w:r>
    </w:p>
    <w:p>
      <w:pPr>
        <w:pStyle w:val="FirstParagraph"/>
      </w:pPr>
      <w:r>
        <w:t xml:space="preserve">The purpose of this lesson is for students to understand that dividing an amount into a whole number of equal parts can be interpreted as multiplying the same amount by a unit fraction.</w:t>
      </w:r>
    </w:p>
    <w:p>
      <w:pPr>
        <w:pStyle w:val="BodyText"/>
      </w:pPr>
      <w:r>
        <w:t xml:space="preserve">In previous lessons, students interpreted a fraction as division of the numerator by the denominator, and equivalently, as a whole number divided into equal sized pieces. In this lesson, students relate division of two whole numbers to multiplying a whole number by a unit fraction. In the first activity, students are given an opportunity to solve a division problem using any strategy and, in the synthesis, they examine how the solution can be interpreted in terms of multiplication or division.  In the second activity, students continue to explore the relationship between a fraction, a division expression, and a multiplication expression.</w:t>
      </w:r>
    </w:p>
    <w:p>
      <w:pPr>
        <w:pStyle w:val="BodyText"/>
      </w:pPr>
      <w:r>
        <w:t xml:space="preserve">In grade 4, students multiplied a unit fraction by a whole number and in this lesson they begin to explore how to interpret a whole number multiplied by a unit fraction.</w:t>
      </w:r>
    </w:p>
    <w:bookmarkEnd w:id="26"/>
    <w:bookmarkStart w:id="27" w:name="access-for"/>
    <w:p>
      <w:pPr>
        <w:pStyle w:val="Heading3"/>
      </w:pPr>
      <w:r>
        <w:t xml:space="preserve">Access for:</w:t>
      </w:r>
    </w:p>
    <w:bookmarkEnd w:id="27"/>
    <w:bookmarkStart w:id="31" w:name="english-learner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MLR1 (Activity 2)</w:t>
      </w:r>
    </w:p>
    <w:bookmarkEnd w:id="31"/>
    <w:bookmarkStart w:id="32" w:name="instructional-routines"/>
    <w:p>
      <w:pPr>
        <w:pStyle w:val="Heading3"/>
      </w:pPr>
      <w:r>
        <w:t xml:space="preserve">Instructional Routines</w:t>
      </w:r>
    </w:p>
    <w:p>
      <w:pPr>
        <w:pStyle w:val="FirstParagraph"/>
      </w:pPr>
      <w:r>
        <w:t xml:space="preserve">MLR2 Collect and Display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was the best question you asked today? Why was it the best?</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Otra carrera de relevos</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Lin y Han corrieron, en equipo, una carrera de relevos de 5 millas. Ambos corrieron la misma distancia. Dibuja un diagrama que represente la situación.</w:t>
      </w:r>
    </w:p>
    <w:p>
      <w:pPr>
        <w:numPr>
          <w:ilvl w:val="0"/>
          <w:numId w:val="1004"/>
        </w:numPr>
        <w:pStyle w:val="Compact"/>
      </w:pPr>
      <w:r>
        <w:t xml:space="preserve">¿Cuánto corrió cada estudiante?</w:t>
      </w:r>
    </w:p>
    <w:bookmarkEnd w:id="40"/>
    <w:bookmarkStart w:id="44" w:name="student-responses"/>
    <w:p>
      <w:pPr>
        <w:pStyle w:val="Heading3"/>
      </w:pPr>
      <w:r>
        <w:t xml:space="preserve">Student Responses</w:t>
      </w:r>
    </w:p>
    <w:p>
      <w:pPr>
        <w:numPr>
          <w:ilvl w:val="0"/>
          <w:numId w:val="1005"/>
        </w:numPr>
        <w:pStyle w:val="Compact"/>
      </w:pPr>
      <w:r>
        <w:t xml:space="preserve">Sample response:</w:t>
      </w:r>
    </w:p>
    <w:p>
      <w:pPr>
        <w:numPr>
          <w:ilvl w:val="0"/>
          <w:numId w:val="1000"/>
        </w:numPr>
        <w:pStyle w:val="Compact"/>
      </w:pPr>
      <w:r>
        <w:drawing>
          <wp:inline>
            <wp:extent cx="5943600" cy="685800"/>
            <wp:effectExtent b="0" l="0" r="0" t="0"/>
            <wp:docPr descr="" title="" id="42" name="Picture"/>
            <a:graphic>
              <a:graphicData uri="http://schemas.openxmlformats.org/drawingml/2006/picture">
                <pic:pic>
                  <pic:nvPicPr>
                    <pic:cNvPr descr="/app/tmp/embedder-1671065358.4379354.png" id="43" name="Picture"/>
                    <pic:cNvPicPr>
                      <a:picLocks noChangeArrowheads="1" noChangeAspect="1"/>
                    </pic:cNvPicPr>
                  </pic:nvPicPr>
                  <pic:blipFill>
                    <a:blip r:embed="rId41"/>
                    <a:stretch>
                      <a:fillRect/>
                    </a:stretch>
                  </pic:blipFill>
                  <pic:spPr bwMode="auto">
                    <a:xfrm>
                      <a:off x="0" y="0"/>
                      <a:ext cx="5943600" cy="685800"/>
                    </a:xfrm>
                    <a:prstGeom prst="rect">
                      <a:avLst/>
                    </a:prstGeom>
                    <a:noFill/>
                    <a:ln w="9525">
                      <a:noFill/>
                      <a:headEnd/>
                      <a:tailEnd/>
                    </a:ln>
                  </pic:spPr>
                </pic:pic>
              </a:graphicData>
            </a:graphic>
          </wp:inline>
        </w:drawing>
      </w:r>
    </w:p>
    <w:p>
      <w:pPr>
        <w:numPr>
          <w:ilvl w:val="0"/>
          <w:numId w:val="1005"/>
        </w:numPr>
        <w:pStyle w:val="Compact"/>
      </w:pPr>
      <m:oMath>
        <m:r>
          <m:t>2</m:t>
        </m:r>
        <m:f>
          <m:fPr>
            <m:type m:val="bar"/>
          </m:fPr>
          <m:num>
            <m:r>
              <m:t>1</m:t>
            </m:r>
          </m:num>
          <m:den>
            <m:r>
              <m:t>2</m:t>
            </m:r>
          </m:den>
        </m:f>
      </m:oMath>
      <w:r>
        <w:t xml:space="preserve"> </w:t>
      </w:r>
      <w:r>
        <w:t xml:space="preserve">miles or</w:t>
      </w:r>
      <w:r>
        <w:t xml:space="preserve"> </w:t>
      </w:r>
      <m:oMath>
        <m:f>
          <m:fPr>
            <m:type m:val="bar"/>
          </m:fPr>
          <m:num>
            <m:r>
              <m:t>5</m:t>
            </m:r>
          </m:num>
          <m:den>
            <m:r>
              <m:t>2</m:t>
            </m:r>
          </m:den>
        </m:f>
      </m:oMath>
      <w:r>
        <w:t xml:space="preserve"> </w:t>
      </w:r>
      <w:r>
        <w:t xml:space="preserve">mile. Sample response: The diagram shows 2 whole miles and</w:t>
      </w:r>
      <w:r>
        <w:t xml:space="preserve"> </w:t>
      </w:r>
      <m:oMath>
        <m:f>
          <m:fPr>
            <m:type m:val="bar"/>
          </m:fPr>
          <m:num>
            <m:r>
              <m:t>1</m:t>
            </m:r>
          </m:num>
          <m:den>
            <m:r>
              <m:t>2</m:t>
            </m:r>
          </m:den>
        </m:f>
      </m:oMath>
      <w:r>
        <w:t xml:space="preserve"> </w:t>
      </w:r>
      <w:r>
        <w:t xml:space="preserve">of another mile. </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2022-12-15T00:49:19Z</dcterms:created>
  <dcterms:modified xsi:type="dcterms:W3CDTF">2022-12-15T00:49:19Z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PBzyfxrFYvPsEsEBnR989C8vT5XAFPFn7wm1ZD/zmpkYGLcmdk2arin2Yh/Me1CcFsc2E9SerHxqg1AUS/yZxA==</vt:lpwstr>
  </property>
</Properties>
</file>