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explore-pattern-blocks"/>
    <w:p>
      <w:pPr>
        <w:pStyle w:val="Heading2"/>
      </w:pPr>
      <w:r>
        <w:t xml:space="preserve">Lesson 2: Explore Pattern Blocks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pattern blocks.</w:t>
      </w:r>
    </w:p>
    <w:bookmarkStart w:id="27" w:name="warm-up-notice-and-wonder-pattern-blocks"/>
    <w:p>
      <w:pPr>
        <w:pStyle w:val="Heading3"/>
      </w:pPr>
      <w:r>
        <w:t xml:space="preserve">Warm-up: Notice and Wonder: Pattern Blocks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Pattern blocks. Yellow, 2. Red, 2. Green, 2. Orange, 2. Blue, 2. Tan, 2." title="" id="22" name="Picture"/>
            <a:graphic>
              <a:graphicData uri="http://schemas.openxmlformats.org/drawingml/2006/picture">
                <pic:pic>
                  <pic:nvPicPr>
                    <pic:cNvPr descr="/app/tmp/embedder-1671007371.6860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2022-12-14T08:42:52Z</dcterms:created>
  <dcterms:modified xsi:type="dcterms:W3CDTF">2022-12-14T08:42:52Z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ooT35dbOXVn2VR+26XRblawqs7jOepC2xa/dFDSI+MaGgLK8ukalBDOxvKi4EHf9lcLKPtrwza1AJThkQIf7mw==</vt:lpwstr>
  </property>
</Properties>
</file>