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7" w:name="lesson-27-día-4-de-centros"/>
    <w:p>
      <w:pPr>
        <w:pStyle w:val="Heading1"/>
      </w:pPr>
      <w:r>
        <w:t xml:space="preserve">Lesson 27: Día 4 de centros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1.OA.C.5,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within 20.</w:t>
      </w:r>
    </w:p>
    <w:bookmarkEnd w:id="24"/>
    <w:bookmarkStart w:id="25" w:name="student-facing-learning-goals"/>
    <w:p>
      <w:pPr>
        <w:pStyle w:val="Heading3"/>
      </w:pPr>
      <w:r>
        <w:t xml:space="preserve">Student-facing Learning Goals</w:t>
      </w:r>
    </w:p>
    <w:p>
      <w:pPr>
        <w:numPr>
          <w:ilvl w:val="0"/>
          <w:numId w:val="1002"/>
        </w:numPr>
        <w:pStyle w:val="Compact"/>
      </w:pPr>
      <w:r>
        <w:t xml:space="preserve">Juguemos juegos para practicar la suma y la resta.</w:t>
      </w:r>
    </w:p>
    <w:bookmarkEnd w:id="25"/>
    <w:bookmarkStart w:id="26" w:name="lesson-purpose"/>
    <w:p>
      <w:pPr>
        <w:pStyle w:val="Heading3"/>
      </w:pPr>
      <w:r>
        <w:t xml:space="preserve">Lesson Purpose</w:t>
      </w:r>
    </w:p>
    <w:p>
      <w:pPr>
        <w:pStyle w:val="FirstParagraph"/>
      </w:pPr>
      <w:r>
        <w:t xml:space="preserve">The purpose of this lesson is for students to practice adding and subtracting within 20.</w:t>
      </w:r>
    </w:p>
    <w:p>
      <w:pPr>
        <w:pStyle w:val="BodyText"/>
      </w:pPr>
      <w:r>
        <w:t xml:space="preserve">Students learn new stages in two centers that focus on adding and subtracting within 20. Students have opportunities to practice methods such as finding the difference by counting on, taking away, making 10, and using addition facts.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2" w:name="instructional-routines"/>
    <w:p>
      <w:pPr>
        <w:pStyle w:val="Heading3"/>
      </w:pPr>
      <w:r>
        <w:t xml:space="preserve">Instructional Routines</w:t>
      </w:r>
    </w:p>
    <w:p>
      <w:pPr>
        <w:pStyle w:val="FirstParagraph"/>
      </w:pPr>
      <w:r>
        <w:t xml:space="preserve">Number Talk (Warm-up)</w:t>
      </w:r>
    </w:p>
    <w:bookmarkEnd w:id="32"/>
    <w:bookmarkStart w:id="33" w:name="materials-to-gather"/>
    <w:p>
      <w:pPr>
        <w:pStyle w:val="Heading3"/>
      </w:pPr>
      <w:r>
        <w:t xml:space="preserve">Materials to Gather</w:t>
      </w:r>
    </w:p>
    <w:p>
      <w:pPr>
        <w:numPr>
          <w:ilvl w:val="0"/>
          <w:numId w:val="1004"/>
        </w:numPr>
        <w:pStyle w:val="Compact"/>
      </w:pPr>
      <w:r>
        <w:t xml:space="preserve">Connecting cubes or two-color counters: Activity 1, Activity 2</w:t>
      </w:r>
    </w:p>
    <w:p>
      <w:pPr>
        <w:numPr>
          <w:ilvl w:val="0"/>
          <w:numId w:val="1004"/>
        </w:numPr>
        <w:pStyle w:val="Compact"/>
      </w:pPr>
      <w:r>
        <w:t xml:space="preserve">Double 10-frames: Activity 1, Activity 2</w:t>
      </w:r>
    </w:p>
    <w:p>
      <w:pPr>
        <w:numPr>
          <w:ilvl w:val="0"/>
          <w:numId w:val="1004"/>
        </w:numPr>
        <w:pStyle w:val="Compact"/>
      </w:pPr>
      <w:r>
        <w:t xml:space="preserve">Materials from a previous lesson: Activity 2</w:t>
      </w:r>
    </w:p>
    <w:p>
      <w:pPr>
        <w:numPr>
          <w:ilvl w:val="0"/>
          <w:numId w:val="1004"/>
        </w:numPr>
        <w:pStyle w:val="Compact"/>
      </w:pPr>
      <w:r>
        <w:t xml:space="preserve">Materials from previous centers: Activity 2</w:t>
      </w:r>
    </w:p>
    <w:p>
      <w:pPr>
        <w:numPr>
          <w:ilvl w:val="0"/>
          <w:numId w:val="1004"/>
        </w:numPr>
        <w:pStyle w:val="Compact"/>
      </w:pPr>
      <w:r>
        <w:t xml:space="preserve">Number cards 0–10: Activity 1</w:t>
      </w:r>
    </w:p>
    <w:bookmarkEnd w:id="33"/>
    <w:bookmarkStart w:id="34" w:name="materials-to-copy"/>
    <w:p>
      <w:pPr>
        <w:pStyle w:val="Heading3"/>
      </w:pPr>
      <w:r>
        <w:t xml:space="preserve">Materials to Copy</w:t>
      </w:r>
    </w:p>
    <w:p>
      <w:pPr>
        <w:numPr>
          <w:ilvl w:val="0"/>
          <w:numId w:val="1005"/>
        </w:numPr>
        <w:pStyle w:val="Compact"/>
      </w:pPr>
      <w:r>
        <w:t xml:space="preserve">How Close? Stage 2 Recording Sheet, Spanish (groups of 1): Activity 1</w:t>
      </w:r>
    </w:p>
    <w:p>
      <w:pPr>
        <w:numPr>
          <w:ilvl w:val="0"/>
          <w:numId w:val="1005"/>
        </w:numPr>
        <w:pStyle w:val="Compact"/>
      </w:pPr>
      <w:r>
        <w:t xml:space="preserve">Compare Stage 2 Subtraction Cards to 20 (groups of 2): Activity 2</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bl>
    <w:bookmarkEnd w:id="35"/>
    <w:bookmarkStart w:id="36" w:name="teacher-reflection-question"/>
    <w:p>
      <w:pPr>
        <w:pStyle w:val="Heading3"/>
      </w:pPr>
      <w:r>
        <w:t xml:space="preserve">Teacher Reflection Question</w:t>
      </w:r>
    </w:p>
    <w:p>
      <w:pPr>
        <w:pStyle w:val="FirstParagraph"/>
      </w:pPr>
      <w:r>
        <w:t xml:space="preserve">Reflect on who got to do math today in class. What norms or routines allowed those students to engage in the mathematics? How can you adjust these norms and routines so all students do math tomorrow?</w:t>
      </w:r>
    </w:p>
    <w:p>
      <w:r>
        <w:pict>
          <v:rect style="width:0;height:1.5pt" o:hralign="center" o:hrstd="t" o:hr="t"/>
        </w:pict>
      </w:r>
    </w:p>
    <w:bookmarkEnd w:id="36"/>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2022-12-14T23:02:25Z</dcterms:created>
  <dcterms:modified xsi:type="dcterms:W3CDTF">2022-12-14T23:02:25Z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ikevynT9iZxrVozDaGHYCzJVMtzstdk0GnB5jpM0ShOuQ+qTGHVxwa6yL905BfRjC71LWvg/hC+f+pz+5ztJTg==</vt:lpwstr>
  </property>
</Properties>
</file>