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d77d7b5f21daa9ca9de4388e3e8ca3a0583b56"/>
    <w:p>
      <w:pPr>
        <w:pStyle w:val="Heading2"/>
      </w:pPr>
      <w:r>
        <w:t xml:space="preserve">Unit 2 Lesson 11: Representing Ratios with Tables</w:t>
      </w:r>
    </w:p>
    <w:bookmarkEnd w:id="20"/>
    <w:bookmarkStart w:id="25" w:name="how-is-it-growing-warm-up"/>
    <w:p>
      <w:pPr>
        <w:pStyle w:val="Heading3"/>
      </w:pPr>
      <w:r>
        <w:t xml:space="preserve">1 How Is It Growing?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Look for a pattern in the figures.</w:t>
      </w:r>
    </w:p>
    <w:p>
      <w:pPr>
        <w:numPr>
          <w:ilvl w:val="0"/>
          <w:numId w:val="1001"/>
        </w:numPr>
      </w:pPr>
      <w:r>
        <w:t xml:space="preserve">How many total tiles will be in:</w:t>
      </w:r>
    </w:p>
    <w:p>
      <w:pPr>
        <w:numPr>
          <w:ilvl w:val="1"/>
          <w:numId w:val="1002"/>
        </w:numPr>
        <w:pStyle w:val="Compact"/>
      </w:pPr>
      <w:r>
        <w:t xml:space="preserve">the 4th figure?</w:t>
      </w:r>
    </w:p>
    <w:p>
      <w:pPr>
        <w:numPr>
          <w:ilvl w:val="1"/>
          <w:numId w:val="1002"/>
        </w:numPr>
        <w:pStyle w:val="Compact"/>
      </w:pPr>
      <w:r>
        <w:t xml:space="preserve">the 5th figure?</w:t>
      </w:r>
    </w:p>
    <w:p>
      <w:pPr>
        <w:numPr>
          <w:ilvl w:val="1"/>
          <w:numId w:val="1002"/>
        </w:numPr>
        <w:pStyle w:val="Compact"/>
      </w:pPr>
      <w:r>
        <w:t xml:space="preserve">the 10th figure?</w:t>
      </w:r>
    </w:p>
    <w:p>
      <w:pPr>
        <w:numPr>
          <w:ilvl w:val="0"/>
          <w:numId w:val="1001"/>
        </w:numPr>
      </w:pPr>
      <w:r>
        <w:t xml:space="preserve">How do you see it growing?</w:t>
      </w:r>
    </w:p>
    <w:p>
      <w:pPr>
        <w:pStyle w:val="FirstParagraph"/>
      </w:pPr>
      <w:r>
        <w:drawing>
          <wp:inline>
            <wp:extent cx="3688181" cy="1574969"/>
            <wp:effectExtent b="0" l="0" r="0" t="0"/>
            <wp:docPr descr="A growing pattern of tiles arranged in rows." title="" id="22" name="Picture"/>
            <a:graphic>
              <a:graphicData uri="http://schemas.openxmlformats.org/drawingml/2006/picture">
                <pic:pic>
                  <pic:nvPicPr>
                    <pic:cNvPr descr="/app/tmp/embedder-1671032439.59865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81" cy="15749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8" w:name="a-huge-amount-of-sparkling-orange-juice"/>
    <w:p>
      <w:pPr>
        <w:pStyle w:val="Heading3"/>
      </w:pPr>
      <w:r>
        <w:t xml:space="preserve">2 A Huge Amount of Sparkling Orange Juice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001012"/>
            <wp:effectExtent b="0" l="0" r="0" t="0"/>
            <wp:docPr descr="Double number line.  Juice, liters.  Soda water, liters." title="" id="27" name="Picture"/>
            <a:graphic>
              <a:graphicData uri="http://schemas.openxmlformats.org/drawingml/2006/picture">
                <pic:pic>
                  <pic:nvPicPr>
                    <pic:cNvPr descr="/app/tmp/embedder-1671032439.6365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10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Noah’s recipe for one batch of sparkling orange juice uses 4 liters of orange juice and 5 liters of soda water.</w:t>
      </w:r>
    </w:p>
    <w:p>
      <w:pPr>
        <w:numPr>
          <w:ilvl w:val="0"/>
          <w:numId w:val="1003"/>
        </w:numPr>
        <w:pStyle w:val="Compact"/>
      </w:pPr>
      <w:r>
        <w:t xml:space="preserve">Use the double number line to show how many liters of each ingredient to use for different-sized batches of sparkling orange juice.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68908"/>
            <wp:effectExtent b="0" l="0" r="0" t="0"/>
            <wp:docPr descr="A double number line with 11 evenly spaced tick marks. The top number line is labeled &quot;orange juice, in liters&quot; and the bottom number line is labeled &quot;soda water, in liters.&quot;" title="" id="31" name="Picture"/>
            <a:graphic>
              <a:graphicData uri="http://schemas.openxmlformats.org/drawingml/2006/picture">
                <pic:pic>
                  <pic:nvPicPr>
                    <pic:cNvPr descr="/app/tmp/embedder-1671032439.671978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689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 someone mixes 36 liters of orange juice and 45 liters of soda water, how many batches would they make?</w:t>
      </w:r>
    </w:p>
    <w:p>
      <w:pPr>
        <w:numPr>
          <w:ilvl w:val="0"/>
          <w:numId w:val="1003"/>
        </w:numPr>
        <w:pStyle w:val="Compact"/>
      </w:pPr>
      <w:r>
        <w:t xml:space="preserve">If someone uses 400 liters of orange juice, how much soda water would they need?</w:t>
      </w:r>
    </w:p>
    <w:p>
      <w:pPr>
        <w:numPr>
          <w:ilvl w:val="0"/>
          <w:numId w:val="1003"/>
        </w:numPr>
        <w:pStyle w:val="Compact"/>
      </w:pPr>
      <w:r>
        <w:t xml:space="preserve">If someone uses 455 liters of soda water, how much orange juice would they need?</w:t>
      </w:r>
    </w:p>
    <w:p>
      <w:pPr>
        <w:numPr>
          <w:ilvl w:val="0"/>
          <w:numId w:val="1003"/>
        </w:numPr>
        <w:pStyle w:val="Compact"/>
      </w:pPr>
      <w:r>
        <w:t xml:space="preserve">Explain the trouble with using a double number line diagram to answer the last two questions.</w:t>
      </w:r>
    </w:p>
    <w:bookmarkEnd w:id="33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3396342"/>
            <wp:effectExtent b="0" l="0" r="0" t="0"/>
            <wp:docPr descr="A table and double number line each displaying the several equivalent ratios for the relationship between liters of orange juice and liters of soda water." title="" id="35" name="Picture"/>
            <a:graphic>
              <a:graphicData uri="http://schemas.openxmlformats.org/drawingml/2006/picture">
                <pic:pic>
                  <pic:nvPicPr>
                    <pic:cNvPr descr="/app/tmp/embedder-1671032439.69305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6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43" w:name="batches-of-trail-mix"/>
    <w:p>
      <w:pPr>
        <w:pStyle w:val="Heading3"/>
      </w:pPr>
      <w:r>
        <w:t xml:space="preserve">3 Batches of Trail Mix</w:t>
      </w:r>
    </w:p>
    <w:bookmarkStart w:id="4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trail mix says: “Mix 7 ounces of almonds with 5 ounces of raisins.” Here is a</w:t>
      </w:r>
      <w:r>
        <w:t xml:space="preserve"> </w:t>
      </w:r>
      <w:r>
        <w:rPr>
          <w:bCs/>
          <w:b/>
        </w:rPr>
        <w:t xml:space="preserve">table</w:t>
      </w:r>
      <w:r>
        <w:t xml:space="preserve"> </w:t>
      </w:r>
      <w:r>
        <w:t xml:space="preserve">that has been started to show how many ounces of almonds and raisins would be in different-sized batches of this trail mix.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almonds (oz)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raisins (oz)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250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56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4"/>
        </w:numPr>
      </w:pPr>
      <w:r>
        <w:t xml:space="preserve">Complete the table so that ratios represented by each row are equivalent.</w:t>
      </w:r>
    </w:p>
    <w:p>
      <w:pPr>
        <w:numPr>
          <w:ilvl w:val="0"/>
          <w:numId w:val="1004"/>
        </w:numPr>
        <w:pStyle w:val="Compact"/>
      </w:pPr>
      <w:r>
        <w:t xml:space="preserve">What methods did you use to fill in the table?</w:t>
      </w:r>
    </w:p>
    <w:p>
      <w:pPr>
        <w:numPr>
          <w:ilvl w:val="0"/>
          <w:numId w:val="1004"/>
        </w:numPr>
        <w:pStyle w:val="Compact"/>
      </w:pPr>
      <w:r>
        <w:t xml:space="preserve">How do you know that each row shows a ratio that is equivalent</w:t>
      </w:r>
      <w:r>
        <w:br/>
      </w:r>
      <w:r>
        <w:t xml:space="preserve">to</w:t>
      </w:r>
      <w:r>
        <w:t xml:space="preserve"> </w:t>
      </w:r>
      <m:oMath>
        <m:r>
          <m:t>7</m:t>
        </m:r>
        <m:r>
          <m:rPr>
            <m:sty m:val="p"/>
          </m:rPr>
          <m:t>:</m:t>
        </m:r>
        <m:r>
          <m:t>5</m:t>
        </m:r>
      </m:oMath>
      <w:r>
        <w:t xml:space="preserve">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2022-12-14T15:40:40Z</dcterms:created>
  <dcterms:modified xsi:type="dcterms:W3CDTF">2022-12-14T15:40:40Z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Zkhn0YDbnSMH5gTbNIgvfrojRyuXlSjEV7MuGk+S7t1CTCKI7FNlfsICp8Vl7AMWg8s+rYMfdd/SOctqO53tgA==</vt:lpwstr>
  </property>
</Properties>
</file>